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B2" w:rsidRPr="0008742D" w:rsidRDefault="00F75CB2" w:rsidP="0008742D">
      <w:pPr>
        <w:pStyle w:val="berschrift6"/>
        <w:jc w:val="center"/>
        <w:rPr>
          <w:sz w:val="40"/>
          <w:szCs w:val="40"/>
        </w:rPr>
      </w:pPr>
    </w:p>
    <w:p w:rsidR="00975585" w:rsidRPr="00096109" w:rsidRDefault="00975585" w:rsidP="0008742D">
      <w:pPr>
        <w:pStyle w:val="berschrift6"/>
        <w:jc w:val="center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>Introduction</w:t>
      </w:r>
    </w:p>
    <w:p w:rsidR="00803BC0" w:rsidRPr="00096109" w:rsidRDefault="00803BC0" w:rsidP="00803BC0">
      <w:pPr>
        <w:jc w:val="both"/>
        <w:rPr>
          <w:rFonts w:cs="Arial"/>
          <w:b/>
          <w:sz w:val="24"/>
          <w:szCs w:val="24"/>
          <w:u w:val="single"/>
        </w:rPr>
      </w:pPr>
    </w:p>
    <w:p w:rsidR="00803BC0" w:rsidRPr="00096109" w:rsidRDefault="00803BC0" w:rsidP="00803BC0">
      <w:pPr>
        <w:numPr>
          <w:ilvl w:val="0"/>
          <w:numId w:val="2"/>
        </w:numPr>
        <w:spacing w:before="240"/>
        <w:jc w:val="both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>This document contains tooling specific responsibilities.  When conflicts arise between program specific statements of work (SOW) and these tooling responsibilities, this document will prevail.</w:t>
      </w:r>
    </w:p>
    <w:p w:rsidR="00803BC0" w:rsidRPr="00096109" w:rsidRDefault="00803BC0" w:rsidP="00803BC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atLeast"/>
        <w:jc w:val="both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This document outlines the tooling expectations and definitions of responsibilities associated with the development of </w:t>
      </w:r>
      <w:r w:rsidR="00BC1329" w:rsidRPr="00096109">
        <w:rPr>
          <w:rFonts w:cs="Arial"/>
          <w:sz w:val="24"/>
          <w:szCs w:val="24"/>
        </w:rPr>
        <w:t>Stamping Dies</w:t>
      </w:r>
      <w:r w:rsidRPr="00096109">
        <w:rPr>
          <w:rFonts w:cs="Arial"/>
          <w:sz w:val="24"/>
          <w:szCs w:val="24"/>
        </w:rPr>
        <w:t xml:space="preserve"> for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>, Inc. (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) through its part supplier (PS).  </w:t>
      </w:r>
    </w:p>
    <w:p w:rsidR="00803BC0" w:rsidRPr="00096109" w:rsidRDefault="00803BC0" w:rsidP="00803BC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atLeast"/>
        <w:jc w:val="both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All Tooling is subject to audit and approval by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>.</w:t>
      </w:r>
      <w:r w:rsidR="00C82F6A" w:rsidRPr="00096109">
        <w:rPr>
          <w:rFonts w:cs="Arial"/>
          <w:sz w:val="24"/>
          <w:szCs w:val="24"/>
        </w:rPr>
        <w:t xml:space="preserve"> </w:t>
      </w:r>
      <w:bookmarkStart w:id="0" w:name="_GoBack"/>
      <w:bookmarkEnd w:id="0"/>
    </w:p>
    <w:p w:rsidR="00803BC0" w:rsidRPr="00096109" w:rsidRDefault="00803BC0" w:rsidP="00803BC0">
      <w:pPr>
        <w:numPr>
          <w:ilvl w:val="0"/>
          <w:numId w:val="2"/>
        </w:numPr>
        <w:spacing w:before="240"/>
        <w:jc w:val="both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THIS DOCUMENT IS NEITHER A SUPPLY AGREEMENT NOR A PROMISE TO ENTER INTO A SUPPLY AGREEMENT.  In the event Part Supplier enters into a contractual relationship with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(pursuant to a Purchase Order, Long-Term Agreement or some other written document executed by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designated as a form of supply agreement, hereafter called the “Contract”), the Contract shall govern the terms and conditions of the Part Supplier -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contractual relationship.  </w:t>
      </w:r>
    </w:p>
    <w:p w:rsidR="00803BC0" w:rsidRPr="00096109" w:rsidRDefault="00803BC0" w:rsidP="00803BC0">
      <w:pPr>
        <w:numPr>
          <w:ilvl w:val="0"/>
          <w:numId w:val="2"/>
        </w:numPr>
        <w:spacing w:before="240"/>
        <w:jc w:val="both"/>
        <w:rPr>
          <w:rFonts w:cs="Arial"/>
          <w:strike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In the event of any conflict between a term of the Contract and a provision of these Part Supplier Tooling responsibilities document, the Contract shall supersede and govern.  In the event that a Contract has been or is entered into between Supplier  and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, the procedures and obligations set forth herein shall be met by Suppliers and, if a Contract is consummated, shall become express warranties made by Supplier and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>.</w:t>
      </w:r>
    </w:p>
    <w:p w:rsidR="00975585" w:rsidRPr="00096109" w:rsidRDefault="00803BC0" w:rsidP="00E66E6F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096109">
        <w:rPr>
          <w:rFonts w:cs="Arial"/>
          <w:b/>
          <w:bCs/>
          <w:sz w:val="24"/>
          <w:szCs w:val="24"/>
          <w:u w:val="single"/>
        </w:rPr>
        <w:br w:type="page"/>
      </w:r>
      <w:r w:rsidRPr="00096109">
        <w:rPr>
          <w:rFonts w:cs="Arial"/>
          <w:b/>
          <w:bCs/>
          <w:sz w:val="24"/>
          <w:szCs w:val="24"/>
          <w:u w:val="single"/>
        </w:rPr>
        <w:lastRenderedPageBreak/>
        <w:t xml:space="preserve">Part </w:t>
      </w:r>
      <w:r w:rsidR="00975585" w:rsidRPr="00096109">
        <w:rPr>
          <w:rFonts w:cs="Arial"/>
          <w:b/>
          <w:bCs/>
          <w:sz w:val="24"/>
          <w:szCs w:val="24"/>
          <w:u w:val="single"/>
        </w:rPr>
        <w:t>Supplier Tooling Responsibilities</w:t>
      </w:r>
    </w:p>
    <w:p w:rsidR="00380EAF" w:rsidRPr="00096109" w:rsidRDefault="00380EAF">
      <w:pPr>
        <w:jc w:val="center"/>
        <w:rPr>
          <w:rFonts w:cs="Arial"/>
          <w:b/>
          <w:bCs/>
          <w:sz w:val="24"/>
          <w:szCs w:val="24"/>
          <w:u w:val="single"/>
        </w:rPr>
      </w:pPr>
    </w:p>
    <w:p w:rsidR="004009B0" w:rsidRPr="00096109" w:rsidRDefault="00380EAF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</w:t>
      </w:r>
      <w:r w:rsidR="006A6566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 xml:space="preserve"> is responsible for preparing and executing the tooling RFQ process, unless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has sourced the tooling prior to award.</w:t>
      </w:r>
      <w:r w:rsidR="006A6566" w:rsidRPr="00096109">
        <w:rPr>
          <w:rFonts w:cs="Arial"/>
          <w:sz w:val="24"/>
          <w:szCs w:val="24"/>
        </w:rPr>
        <w:t xml:space="preserve">  </w:t>
      </w:r>
      <w:r w:rsidRPr="00096109">
        <w:rPr>
          <w:rFonts w:cs="Arial"/>
          <w:sz w:val="24"/>
          <w:szCs w:val="24"/>
        </w:rPr>
        <w:t>These responsibilities include, but are not limited to the following:</w:t>
      </w:r>
      <w:r w:rsidR="006A6566" w:rsidRPr="00096109">
        <w:rPr>
          <w:rFonts w:cs="Arial"/>
          <w:sz w:val="24"/>
          <w:szCs w:val="24"/>
        </w:rPr>
        <w:t xml:space="preserve"> </w:t>
      </w:r>
    </w:p>
    <w:p w:rsidR="00380EAF" w:rsidRPr="00096109" w:rsidRDefault="00380EAF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PS RFQ </w:t>
      </w:r>
      <w:r w:rsidR="00A010F8" w:rsidRPr="00096109">
        <w:rPr>
          <w:rFonts w:cs="Arial"/>
          <w:sz w:val="24"/>
          <w:szCs w:val="24"/>
        </w:rPr>
        <w:t xml:space="preserve">must </w:t>
      </w:r>
      <w:r w:rsidR="0082411C" w:rsidRPr="00096109">
        <w:rPr>
          <w:rFonts w:cs="Arial"/>
          <w:sz w:val="24"/>
          <w:szCs w:val="24"/>
        </w:rPr>
        <w:t>clearly state</w:t>
      </w:r>
      <w:r w:rsidR="00A010F8" w:rsidRPr="00096109">
        <w:rPr>
          <w:rFonts w:cs="Arial"/>
          <w:sz w:val="24"/>
          <w:szCs w:val="24"/>
        </w:rPr>
        <w:t xml:space="preserve"> that the tool must be</w:t>
      </w:r>
      <w:r w:rsidR="00A010F8" w:rsidRPr="00096109">
        <w:rPr>
          <w:rFonts w:cs="Arial"/>
          <w:color w:val="FF0000"/>
          <w:sz w:val="24"/>
          <w:szCs w:val="24"/>
        </w:rPr>
        <w:t xml:space="preserve"> </w:t>
      </w:r>
      <w:r w:rsidRPr="00096109">
        <w:rPr>
          <w:rFonts w:cs="Arial"/>
          <w:sz w:val="24"/>
          <w:szCs w:val="24"/>
        </w:rPr>
        <w:t xml:space="preserve">designed and built, at minimum, to meet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Global Tooling and Gage Standards.</w:t>
      </w:r>
    </w:p>
    <w:p w:rsidR="004009B0" w:rsidRPr="00096109" w:rsidRDefault="00380EAF" w:rsidP="007F5B76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>The RFQ must detail the process that will be utilized in production (type of tooling, number of stations, station description, etc.).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380EAF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Tooling quotes must be received on the </w:t>
      </w:r>
      <w:r w:rsidR="00BA018D" w:rsidRPr="00096109">
        <w:rPr>
          <w:rFonts w:cs="Arial"/>
          <w:sz w:val="24"/>
          <w:szCs w:val="24"/>
        </w:rPr>
        <w:t>“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</w:t>
      </w:r>
      <w:r w:rsidR="00BA018D" w:rsidRPr="00096109">
        <w:rPr>
          <w:rFonts w:cs="Arial"/>
          <w:sz w:val="24"/>
          <w:szCs w:val="24"/>
        </w:rPr>
        <w:t>Die Cost Breakdown Worksheet”</w:t>
      </w:r>
      <w:r w:rsidRPr="00096109">
        <w:rPr>
          <w:rFonts w:cs="Arial"/>
          <w:sz w:val="24"/>
          <w:szCs w:val="24"/>
        </w:rPr>
        <w:t>, and all appropriate fields must be completed in order to be valid.  The number of stations and station description must be provided upon submitting quote.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380EAF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 xml:space="preserve"> should schedule a joint meeting between the Operational Buyer, Tooling Buyer, 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 xml:space="preserve">, and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Tool Engineer when all parties have received the quotes and are ready to discuss tooling cost, tool process, function, and timing.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4009B0" w:rsidRPr="00096109" w:rsidRDefault="00380EAF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All tooling </w:t>
      </w:r>
      <w:r w:rsidR="00EE69EC" w:rsidRPr="00096109">
        <w:rPr>
          <w:rFonts w:cs="Arial"/>
          <w:sz w:val="24"/>
          <w:szCs w:val="24"/>
        </w:rPr>
        <w:t>quotes must</w:t>
      </w:r>
      <w:r w:rsidRPr="00096109">
        <w:rPr>
          <w:rFonts w:cs="Arial"/>
          <w:sz w:val="24"/>
          <w:szCs w:val="24"/>
        </w:rPr>
        <w:t xml:space="preserve"> reflect global market pricing.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975585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 xml:space="preserve"> is responsible for </w:t>
      </w:r>
      <w:r w:rsidR="00A010F8" w:rsidRPr="00096109">
        <w:rPr>
          <w:rFonts w:cs="Arial"/>
          <w:sz w:val="24"/>
          <w:szCs w:val="24"/>
        </w:rPr>
        <w:t>the successful launch of all tools</w:t>
      </w:r>
      <w:r w:rsidR="0082411C" w:rsidRPr="00096109">
        <w:rPr>
          <w:rFonts w:cs="Arial"/>
          <w:sz w:val="24"/>
          <w:szCs w:val="24"/>
        </w:rPr>
        <w:t>.</w:t>
      </w:r>
      <w:r w:rsidR="006A6566" w:rsidRPr="00096109">
        <w:rPr>
          <w:rFonts w:cs="Arial"/>
          <w:sz w:val="24"/>
          <w:szCs w:val="24"/>
        </w:rPr>
        <w:t xml:space="preserve">  </w:t>
      </w:r>
      <w:r w:rsidRPr="00096109">
        <w:rPr>
          <w:rFonts w:cs="Arial"/>
          <w:sz w:val="24"/>
          <w:szCs w:val="24"/>
        </w:rPr>
        <w:t>These responsibilities include, but are not limited to the following:</w:t>
      </w:r>
      <w:r w:rsidR="006A6566" w:rsidRPr="00096109">
        <w:rPr>
          <w:rFonts w:cs="Arial"/>
          <w:sz w:val="24"/>
          <w:szCs w:val="24"/>
        </w:rPr>
        <w:t xml:space="preserve">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Review product designs and communicate and track change recommendations regarding simplifications of tool function, improvements, </w:t>
      </w:r>
      <w:r w:rsidR="00644E64" w:rsidRPr="00096109">
        <w:rPr>
          <w:rFonts w:cs="Arial"/>
          <w:sz w:val="24"/>
          <w:szCs w:val="24"/>
        </w:rPr>
        <w:t>manufactur</w:t>
      </w:r>
      <w:r w:rsidR="00BC1329" w:rsidRPr="00096109">
        <w:rPr>
          <w:rFonts w:cs="Arial"/>
          <w:sz w:val="24"/>
          <w:szCs w:val="24"/>
        </w:rPr>
        <w:t>ing feasibility</w:t>
      </w:r>
      <w:r w:rsidR="00644E64" w:rsidRPr="00096109">
        <w:rPr>
          <w:rFonts w:cs="Arial"/>
          <w:sz w:val="24"/>
          <w:szCs w:val="24"/>
        </w:rPr>
        <w:t xml:space="preserve">, </w:t>
      </w:r>
      <w:r w:rsidRPr="00096109">
        <w:rPr>
          <w:rFonts w:cs="Arial"/>
          <w:sz w:val="24"/>
          <w:szCs w:val="24"/>
        </w:rPr>
        <w:t>and cost reductions.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ED4153" w:rsidRPr="00096109" w:rsidRDefault="00F91EDA" w:rsidP="00ED4153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Build all tools to meet, at a minimum,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Global Tooling Standards &amp;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Gage Standards.</w:t>
      </w:r>
    </w:p>
    <w:p w:rsidR="00C3602A" w:rsidRPr="00096109" w:rsidRDefault="00E35BC6" w:rsidP="00ED4153">
      <w:pPr>
        <w:pStyle w:val="Textkrper3"/>
        <w:numPr>
          <w:ilvl w:val="6"/>
          <w:numId w:val="26"/>
        </w:numPr>
        <w:spacing w:before="120" w:after="240"/>
        <w:rPr>
          <w:rFonts w:cs="Arial"/>
          <w:b/>
          <w:color w:val="0070C0"/>
          <w:sz w:val="24"/>
          <w:szCs w:val="24"/>
          <w:u w:val="single"/>
        </w:rPr>
      </w:pPr>
      <w:r>
        <w:rPr>
          <w:rFonts w:cs="Arial"/>
          <w:b/>
          <w:color w:val="0070C0"/>
          <w:sz w:val="24"/>
          <w:szCs w:val="24"/>
          <w:u w:val="single"/>
        </w:rPr>
        <w:t>Adient</w:t>
      </w:r>
      <w:r w:rsidR="00ED4153" w:rsidRPr="00096109">
        <w:rPr>
          <w:rFonts w:cs="Arial"/>
          <w:b/>
          <w:color w:val="0070C0"/>
          <w:sz w:val="24"/>
          <w:szCs w:val="24"/>
          <w:u w:val="single"/>
        </w:rPr>
        <w:t xml:space="preserve"> Global Stamping Die Tooling Standards</w:t>
      </w:r>
    </w:p>
    <w:p w:rsidR="00ED4153" w:rsidRPr="00096109" w:rsidRDefault="00E35BC6" w:rsidP="00ED4153">
      <w:pPr>
        <w:pStyle w:val="Textkrper3"/>
        <w:numPr>
          <w:ilvl w:val="6"/>
          <w:numId w:val="26"/>
        </w:numPr>
        <w:spacing w:before="120" w:after="240"/>
        <w:rPr>
          <w:rFonts w:cs="Arial"/>
          <w:b/>
          <w:color w:val="0070C0"/>
          <w:sz w:val="24"/>
          <w:szCs w:val="24"/>
          <w:u w:val="single"/>
        </w:rPr>
      </w:pPr>
      <w:r>
        <w:rPr>
          <w:rFonts w:cs="Arial"/>
          <w:b/>
          <w:color w:val="0070C0"/>
          <w:sz w:val="24"/>
          <w:szCs w:val="24"/>
          <w:u w:val="single"/>
        </w:rPr>
        <w:t>Adient</w:t>
      </w:r>
      <w:r w:rsidR="00ED4153" w:rsidRPr="00096109">
        <w:rPr>
          <w:rFonts w:cs="Arial"/>
          <w:b/>
          <w:color w:val="0070C0"/>
          <w:sz w:val="24"/>
          <w:szCs w:val="24"/>
          <w:u w:val="single"/>
        </w:rPr>
        <w:t xml:space="preserve"> Stamping Die Gage Standards</w:t>
      </w:r>
    </w:p>
    <w:p w:rsidR="00C3602A" w:rsidRPr="00096109" w:rsidRDefault="009A7448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>Obtain R</w:t>
      </w:r>
      <w:r w:rsidR="00F91EDA" w:rsidRPr="00096109">
        <w:rPr>
          <w:rFonts w:cs="Arial"/>
          <w:sz w:val="24"/>
          <w:szCs w:val="24"/>
        </w:rPr>
        <w:t>eleas</w:t>
      </w:r>
      <w:r w:rsidRPr="00096109">
        <w:rPr>
          <w:rFonts w:cs="Arial"/>
          <w:sz w:val="24"/>
          <w:szCs w:val="24"/>
        </w:rPr>
        <w:t>ed Data, CAD and drawing w/GD&amp;T</w:t>
      </w:r>
      <w:r w:rsidR="005E7079" w:rsidRPr="00096109">
        <w:rPr>
          <w:rFonts w:cs="Arial"/>
          <w:sz w:val="24"/>
          <w:szCs w:val="24"/>
        </w:rPr>
        <w:t>,</w:t>
      </w:r>
      <w:r w:rsidRPr="00096109">
        <w:rPr>
          <w:rFonts w:cs="Arial"/>
          <w:sz w:val="24"/>
          <w:szCs w:val="24"/>
        </w:rPr>
        <w:t xml:space="preserve"> prior to design and build of tool.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C30764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PS must obtain written sign-off by the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Advanced Tool Engineer (ATE) for the</w:t>
      </w:r>
      <w:r w:rsidR="005E7079" w:rsidRPr="00096109">
        <w:rPr>
          <w:rFonts w:cs="Arial"/>
          <w:sz w:val="24"/>
          <w:szCs w:val="24"/>
        </w:rPr>
        <w:t xml:space="preserve"> following </w:t>
      </w:r>
      <w:r w:rsidR="00F91EDA" w:rsidRPr="00096109">
        <w:rPr>
          <w:rFonts w:cs="Arial"/>
          <w:sz w:val="24"/>
          <w:szCs w:val="24"/>
        </w:rPr>
        <w:t>phases of design</w:t>
      </w:r>
      <w:r w:rsidR="005E7079" w:rsidRPr="00096109">
        <w:rPr>
          <w:rFonts w:cs="Arial"/>
          <w:sz w:val="24"/>
          <w:szCs w:val="24"/>
        </w:rPr>
        <w:t>;</w:t>
      </w:r>
      <w:r w:rsidR="00F91EDA" w:rsidRPr="00096109">
        <w:rPr>
          <w:rFonts w:cs="Arial"/>
          <w:sz w:val="24"/>
          <w:szCs w:val="24"/>
        </w:rPr>
        <w:t xml:space="preserve"> </w:t>
      </w:r>
      <w:r w:rsidR="00021120" w:rsidRPr="00096109">
        <w:rPr>
          <w:rFonts w:cs="Arial"/>
          <w:sz w:val="24"/>
          <w:szCs w:val="24"/>
        </w:rPr>
        <w:t>0%</w:t>
      </w:r>
      <w:r w:rsidR="00CF54DF" w:rsidRPr="00096109">
        <w:rPr>
          <w:rFonts w:cs="Arial"/>
          <w:sz w:val="24"/>
          <w:szCs w:val="24"/>
        </w:rPr>
        <w:t xml:space="preserve"> -</w:t>
      </w:r>
      <w:r w:rsidR="00021120" w:rsidRPr="00096109">
        <w:rPr>
          <w:rFonts w:cs="Arial"/>
          <w:sz w:val="24"/>
          <w:szCs w:val="24"/>
        </w:rPr>
        <w:t xml:space="preserve"> strip</w:t>
      </w:r>
      <w:r w:rsidR="00CF54DF" w:rsidRPr="00096109">
        <w:rPr>
          <w:rFonts w:cs="Arial"/>
          <w:sz w:val="24"/>
          <w:szCs w:val="24"/>
        </w:rPr>
        <w:t xml:space="preserve"> layout and 50% - </w:t>
      </w:r>
      <w:r w:rsidR="00021120" w:rsidRPr="00096109">
        <w:rPr>
          <w:rFonts w:cs="Arial"/>
          <w:sz w:val="24"/>
          <w:szCs w:val="24"/>
        </w:rPr>
        <w:t xml:space="preserve">tool design.  Although </w:t>
      </w:r>
      <w:r w:rsidR="00E35BC6">
        <w:rPr>
          <w:rFonts w:cs="Arial"/>
          <w:sz w:val="24"/>
          <w:szCs w:val="24"/>
        </w:rPr>
        <w:t>Adient</w:t>
      </w:r>
      <w:r w:rsidR="00021120" w:rsidRPr="00096109">
        <w:rPr>
          <w:rFonts w:cs="Arial"/>
          <w:sz w:val="24"/>
          <w:szCs w:val="24"/>
        </w:rPr>
        <w:t xml:space="preserve"> ATE’s approve the design, overall financial and functional responsibility of the tool resides with the PS.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lastRenderedPageBreak/>
        <w:t>Track and log all data levels, changes, agreements, and transmissions.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Obtain </w:t>
      </w:r>
      <w:r w:rsidR="007D3B22" w:rsidRPr="00096109">
        <w:rPr>
          <w:rFonts w:cs="Arial"/>
          <w:sz w:val="24"/>
          <w:szCs w:val="24"/>
        </w:rPr>
        <w:t xml:space="preserve">a </w:t>
      </w:r>
      <w:r w:rsidR="00E35BC6">
        <w:rPr>
          <w:rFonts w:cs="Arial"/>
          <w:sz w:val="24"/>
          <w:szCs w:val="24"/>
        </w:rPr>
        <w:t>Adient</w:t>
      </w:r>
      <w:r w:rsidR="007D3B22" w:rsidRPr="00096109">
        <w:rPr>
          <w:rFonts w:cs="Arial"/>
          <w:sz w:val="24"/>
          <w:szCs w:val="24"/>
        </w:rPr>
        <w:t xml:space="preserve"> Purchase Order prior to kicking off tool design or build (includes engineering changes)</w:t>
      </w:r>
      <w:r w:rsidR="006A6566" w:rsidRPr="00096109">
        <w:rPr>
          <w:rFonts w:cs="Arial"/>
          <w:sz w:val="24"/>
          <w:szCs w:val="24"/>
        </w:rPr>
        <w:t xml:space="preserve">. 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Provide tooling representation at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launch team meetings, design reviews, and customer tool shop visits as required.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Issue tool progress reports and tool-tracking spreadsheets to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throughout the build of the tools</w:t>
      </w:r>
      <w:r w:rsidR="006A6566" w:rsidRPr="00096109">
        <w:rPr>
          <w:rFonts w:cs="Arial"/>
          <w:sz w:val="24"/>
          <w:szCs w:val="24"/>
        </w:rPr>
        <w:t xml:space="preserve">, which </w:t>
      </w:r>
      <w:r w:rsidR="00021120" w:rsidRPr="00096109">
        <w:rPr>
          <w:rFonts w:cs="Arial"/>
          <w:sz w:val="24"/>
          <w:szCs w:val="24"/>
        </w:rPr>
        <w:t>reflect</w:t>
      </w:r>
      <w:r w:rsidRPr="00096109">
        <w:rPr>
          <w:rFonts w:cs="Arial"/>
          <w:sz w:val="24"/>
          <w:szCs w:val="24"/>
        </w:rPr>
        <w:t xml:space="preserve"> the program </w:t>
      </w:r>
      <w:r w:rsidR="00CF54DF" w:rsidRPr="00096109">
        <w:rPr>
          <w:rFonts w:cs="Arial"/>
          <w:sz w:val="24"/>
          <w:szCs w:val="24"/>
        </w:rPr>
        <w:t>deliverables</w:t>
      </w:r>
      <w:r w:rsidRPr="00096109">
        <w:rPr>
          <w:rFonts w:cs="Arial"/>
          <w:sz w:val="24"/>
          <w:szCs w:val="24"/>
        </w:rPr>
        <w:t xml:space="preserve"> and milestones.</w:t>
      </w:r>
      <w:r w:rsidR="006A6566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BB3D94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>Tryout material costs:</w:t>
      </w:r>
      <w:r w:rsidR="004009B0" w:rsidRPr="00096109">
        <w:rPr>
          <w:rFonts w:cs="Arial"/>
          <w:sz w:val="24"/>
          <w:szCs w:val="24"/>
        </w:rPr>
        <w:t xml:space="preserve"> </w:t>
      </w:r>
    </w:p>
    <w:p w:rsidR="00C3602A" w:rsidRPr="00096109" w:rsidRDefault="00BB3D94" w:rsidP="00827FAE">
      <w:pPr>
        <w:pStyle w:val="Textkrper3"/>
        <w:numPr>
          <w:ilvl w:val="2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If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issues </w:t>
      </w:r>
      <w:r w:rsidR="00BC1329" w:rsidRPr="00096109">
        <w:rPr>
          <w:rFonts w:cs="Arial"/>
          <w:sz w:val="24"/>
          <w:szCs w:val="24"/>
        </w:rPr>
        <w:t xml:space="preserve">a </w:t>
      </w:r>
      <w:r w:rsidRPr="00096109">
        <w:rPr>
          <w:rFonts w:cs="Arial"/>
          <w:sz w:val="24"/>
          <w:szCs w:val="24"/>
        </w:rPr>
        <w:t xml:space="preserve">PO directly to the Tool Shop, tryout material is included in initial tool PO.  Material certification requirements are defined in the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Global Tool standard and must be adhered to by the tool shop.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BB3D94" w:rsidP="00827FAE">
      <w:pPr>
        <w:pStyle w:val="Textkrper3"/>
        <w:numPr>
          <w:ilvl w:val="2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If PS issues </w:t>
      </w:r>
      <w:r w:rsidR="00BC1329" w:rsidRPr="00096109">
        <w:rPr>
          <w:rFonts w:cs="Arial"/>
          <w:sz w:val="24"/>
          <w:szCs w:val="24"/>
        </w:rPr>
        <w:t xml:space="preserve">a </w:t>
      </w:r>
      <w:r w:rsidRPr="00096109">
        <w:rPr>
          <w:rFonts w:cs="Arial"/>
          <w:sz w:val="24"/>
          <w:szCs w:val="24"/>
        </w:rPr>
        <w:t xml:space="preserve">PO for the tool, </w:t>
      </w:r>
      <w:r w:rsidR="00021120" w:rsidRPr="00096109">
        <w:rPr>
          <w:rFonts w:cs="Arial"/>
          <w:sz w:val="24"/>
          <w:szCs w:val="24"/>
        </w:rPr>
        <w:t>PS is responsible for all t</w:t>
      </w:r>
      <w:r w:rsidR="006A6F13" w:rsidRPr="00096109">
        <w:rPr>
          <w:rFonts w:cs="Arial"/>
          <w:sz w:val="24"/>
          <w:szCs w:val="24"/>
        </w:rPr>
        <w:t>ryout material requirements throughout tool development.  This material must be certified to meet material type defined on drawing.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Provide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with sample parts from the tool tryout runs upon request.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>Ship</w:t>
      </w:r>
      <w:r w:rsidR="006A6F13" w:rsidRPr="00096109">
        <w:rPr>
          <w:rFonts w:cs="Arial"/>
          <w:sz w:val="24"/>
          <w:szCs w:val="24"/>
        </w:rPr>
        <w:t>ping costs for tools:</w:t>
      </w:r>
      <w:r w:rsidR="004009B0" w:rsidRPr="00096109">
        <w:rPr>
          <w:rFonts w:cs="Arial"/>
          <w:sz w:val="24"/>
          <w:szCs w:val="24"/>
        </w:rPr>
        <w:t xml:space="preserve"> </w:t>
      </w:r>
    </w:p>
    <w:p w:rsidR="00C3602A" w:rsidRPr="00096109" w:rsidRDefault="006A6F13" w:rsidP="00827FAE">
      <w:pPr>
        <w:pStyle w:val="Textkrper3"/>
        <w:numPr>
          <w:ilvl w:val="2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If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issues PO </w:t>
      </w:r>
      <w:r w:rsidR="00BB3D94" w:rsidRPr="00096109">
        <w:rPr>
          <w:rFonts w:cs="Arial"/>
          <w:sz w:val="24"/>
          <w:szCs w:val="24"/>
        </w:rPr>
        <w:t>directly to selected Tool Shop</w:t>
      </w:r>
      <w:r w:rsidRPr="00096109">
        <w:rPr>
          <w:rFonts w:cs="Arial"/>
          <w:sz w:val="24"/>
          <w:szCs w:val="24"/>
        </w:rPr>
        <w:t xml:space="preserve">, PS must quote any cost delta for additional shipping costs </w:t>
      </w:r>
      <w:r w:rsidR="00BB3D94" w:rsidRPr="00096109">
        <w:rPr>
          <w:rFonts w:cs="Arial"/>
          <w:sz w:val="24"/>
          <w:szCs w:val="24"/>
        </w:rPr>
        <w:t xml:space="preserve">beyond what was assumed in </w:t>
      </w:r>
      <w:r w:rsidR="00E35BC6">
        <w:rPr>
          <w:rFonts w:cs="Arial"/>
          <w:sz w:val="24"/>
          <w:szCs w:val="24"/>
        </w:rPr>
        <w:t>Adient</w:t>
      </w:r>
      <w:r w:rsidR="00BB3D94" w:rsidRPr="00096109">
        <w:rPr>
          <w:rFonts w:cs="Arial"/>
          <w:sz w:val="24"/>
          <w:szCs w:val="24"/>
        </w:rPr>
        <w:t xml:space="preserve"> quoted tool</w:t>
      </w:r>
      <w:r w:rsidR="00C606C4" w:rsidRPr="00096109">
        <w:rPr>
          <w:rFonts w:cs="Arial"/>
          <w:sz w:val="24"/>
          <w:szCs w:val="24"/>
        </w:rPr>
        <w:t>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6A6F13" w:rsidP="00827FAE">
      <w:pPr>
        <w:pStyle w:val="Textkrper3"/>
        <w:numPr>
          <w:ilvl w:val="2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>If PS issues PO for the tool, all shipping costs, duties, taxes, etc, must be included in quoted tool cost.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>Perform all internal and external PPAP requirements for each tool to meet program timing</w:t>
      </w:r>
      <w:r w:rsidR="00644E64" w:rsidRPr="00096109">
        <w:rPr>
          <w:rFonts w:cs="Arial"/>
          <w:sz w:val="24"/>
          <w:szCs w:val="24"/>
        </w:rPr>
        <w:t xml:space="preserve"> and deliverables</w:t>
      </w:r>
      <w:r w:rsidR="004009B0" w:rsidRPr="00096109">
        <w:rPr>
          <w:rFonts w:cs="Arial"/>
          <w:sz w:val="24"/>
          <w:szCs w:val="24"/>
        </w:rPr>
        <w:t xml:space="preserve">. 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b/>
          <w:sz w:val="24"/>
          <w:szCs w:val="24"/>
        </w:rPr>
      </w:pPr>
      <w:r w:rsidRPr="00096109">
        <w:rPr>
          <w:rFonts w:cs="Arial"/>
          <w:sz w:val="24"/>
          <w:szCs w:val="24"/>
        </w:rPr>
        <w:t>Manag</w:t>
      </w:r>
      <w:r w:rsidR="00CF54DF" w:rsidRPr="00096109">
        <w:rPr>
          <w:rFonts w:cs="Arial"/>
          <w:sz w:val="24"/>
          <w:szCs w:val="24"/>
        </w:rPr>
        <w:t xml:space="preserve">e </w:t>
      </w:r>
      <w:r w:rsidRPr="00096109">
        <w:rPr>
          <w:rFonts w:cs="Arial"/>
          <w:sz w:val="24"/>
          <w:szCs w:val="24"/>
        </w:rPr>
        <w:t>and advis</w:t>
      </w:r>
      <w:r w:rsidR="00CF54DF" w:rsidRPr="00096109">
        <w:rPr>
          <w:rFonts w:cs="Arial"/>
          <w:sz w:val="24"/>
          <w:szCs w:val="24"/>
        </w:rPr>
        <w:t>e</w:t>
      </w:r>
      <w:r w:rsidRPr="00096109">
        <w:rPr>
          <w:rFonts w:cs="Arial"/>
          <w:sz w:val="24"/>
          <w:szCs w:val="24"/>
        </w:rPr>
        <w:t xml:space="preserve">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on potential obsolescence during engineering changes, model year changes and production balance out.</w:t>
      </w:r>
      <w:r w:rsidR="004009B0" w:rsidRPr="00096109">
        <w:rPr>
          <w:rFonts w:cs="Arial"/>
          <w:b/>
          <w:sz w:val="24"/>
          <w:szCs w:val="24"/>
        </w:rPr>
        <w:t xml:space="preserve">  </w:t>
      </w:r>
    </w:p>
    <w:p w:rsidR="00C3602A" w:rsidRPr="00096109" w:rsidRDefault="007D3B22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When tooling is already started or completed prior to 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 xml:space="preserve"> being selected</w:t>
      </w:r>
      <w:r w:rsidR="00785917" w:rsidRPr="00096109">
        <w:rPr>
          <w:rFonts w:cs="Arial"/>
          <w:sz w:val="24"/>
          <w:szCs w:val="24"/>
        </w:rPr>
        <w:t xml:space="preserve">, the </w:t>
      </w:r>
      <w:r w:rsidR="002F4785" w:rsidRPr="00096109">
        <w:rPr>
          <w:rFonts w:cs="Arial"/>
          <w:sz w:val="24"/>
          <w:szCs w:val="24"/>
        </w:rPr>
        <w:t>pros</w:t>
      </w:r>
      <w:r w:rsidR="005E7079" w:rsidRPr="00096109">
        <w:rPr>
          <w:rFonts w:cs="Arial"/>
          <w:sz w:val="24"/>
          <w:szCs w:val="24"/>
        </w:rPr>
        <w:t>p</w:t>
      </w:r>
      <w:r w:rsidR="002F4785" w:rsidRPr="00096109">
        <w:rPr>
          <w:rFonts w:cs="Arial"/>
          <w:sz w:val="24"/>
          <w:szCs w:val="24"/>
        </w:rPr>
        <w:t xml:space="preserve">ective </w:t>
      </w:r>
      <w:r w:rsidR="00BF7E35" w:rsidRPr="00096109">
        <w:rPr>
          <w:rFonts w:cs="Arial"/>
          <w:sz w:val="24"/>
          <w:szCs w:val="24"/>
        </w:rPr>
        <w:t>PS</w:t>
      </w:r>
      <w:r w:rsidR="00785917" w:rsidRPr="00096109">
        <w:rPr>
          <w:rFonts w:cs="Arial"/>
          <w:sz w:val="24"/>
          <w:szCs w:val="24"/>
        </w:rPr>
        <w:t xml:space="preserve"> is responsible to review</w:t>
      </w:r>
      <w:r w:rsidR="00AC7E7F" w:rsidRPr="00096109">
        <w:rPr>
          <w:rFonts w:cs="Arial"/>
          <w:sz w:val="24"/>
          <w:szCs w:val="24"/>
        </w:rPr>
        <w:t>,</w:t>
      </w:r>
      <w:r w:rsidR="00785917" w:rsidRPr="00096109">
        <w:rPr>
          <w:rFonts w:cs="Arial"/>
          <w:sz w:val="24"/>
          <w:szCs w:val="24"/>
        </w:rPr>
        <w:t xml:space="preserve"> identify</w:t>
      </w:r>
      <w:r w:rsidR="00C606C4" w:rsidRPr="00096109">
        <w:rPr>
          <w:rFonts w:cs="Arial"/>
          <w:sz w:val="24"/>
          <w:szCs w:val="24"/>
        </w:rPr>
        <w:t>,</w:t>
      </w:r>
      <w:r w:rsidR="00785917" w:rsidRPr="00096109">
        <w:rPr>
          <w:rFonts w:cs="Arial"/>
          <w:sz w:val="24"/>
          <w:szCs w:val="24"/>
        </w:rPr>
        <w:t xml:space="preserve"> and document any</w:t>
      </w:r>
      <w:r w:rsidR="00CB449A" w:rsidRPr="00096109">
        <w:rPr>
          <w:rFonts w:cs="Arial"/>
          <w:sz w:val="24"/>
          <w:szCs w:val="24"/>
        </w:rPr>
        <w:t xml:space="preserve"> issues associated to the </w:t>
      </w:r>
      <w:r w:rsidR="00785917" w:rsidRPr="00096109">
        <w:rPr>
          <w:rFonts w:cs="Arial"/>
          <w:sz w:val="24"/>
          <w:szCs w:val="24"/>
        </w:rPr>
        <w:t>product design and</w:t>
      </w:r>
      <w:r w:rsidR="00AC7E7F" w:rsidRPr="00096109">
        <w:rPr>
          <w:rFonts w:cs="Arial"/>
          <w:sz w:val="24"/>
          <w:szCs w:val="24"/>
        </w:rPr>
        <w:t>/or</w:t>
      </w:r>
      <w:r w:rsidR="00785917" w:rsidRPr="00096109">
        <w:rPr>
          <w:rFonts w:cs="Arial"/>
          <w:sz w:val="24"/>
          <w:szCs w:val="24"/>
        </w:rPr>
        <w:t xml:space="preserve"> tool design prior to </w:t>
      </w:r>
      <w:r w:rsidR="00C606C4" w:rsidRPr="00096109">
        <w:rPr>
          <w:rFonts w:cs="Arial"/>
          <w:sz w:val="24"/>
          <w:szCs w:val="24"/>
        </w:rPr>
        <w:t>signing the Award Letter</w:t>
      </w:r>
      <w:r w:rsidR="00AC7E7F" w:rsidRPr="00096109">
        <w:rPr>
          <w:rFonts w:cs="Arial"/>
          <w:sz w:val="24"/>
          <w:szCs w:val="24"/>
        </w:rPr>
        <w:t>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1F6097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lastRenderedPageBreak/>
        <w:t>Unless tooling has been</w:t>
      </w:r>
      <w:r w:rsidR="00CA4380" w:rsidRPr="00096109">
        <w:rPr>
          <w:rFonts w:cs="Arial"/>
          <w:sz w:val="24"/>
          <w:szCs w:val="24"/>
        </w:rPr>
        <w:t xml:space="preserve"> or will be </w:t>
      </w:r>
      <w:r w:rsidRPr="00096109">
        <w:rPr>
          <w:rFonts w:cs="Arial"/>
          <w:sz w:val="24"/>
          <w:szCs w:val="24"/>
        </w:rPr>
        <w:t xml:space="preserve">sourced by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>, t</w:t>
      </w:r>
      <w:r w:rsidR="00975585" w:rsidRPr="00096109">
        <w:rPr>
          <w:rFonts w:cs="Arial"/>
          <w:sz w:val="24"/>
          <w:szCs w:val="24"/>
        </w:rPr>
        <w:t xml:space="preserve">he </w:t>
      </w:r>
      <w:r w:rsidR="00BF7E35" w:rsidRPr="00096109">
        <w:rPr>
          <w:rFonts w:cs="Arial"/>
          <w:sz w:val="24"/>
          <w:szCs w:val="24"/>
        </w:rPr>
        <w:t>PS</w:t>
      </w:r>
      <w:r w:rsidR="00975585" w:rsidRPr="00096109">
        <w:rPr>
          <w:rFonts w:cs="Arial"/>
          <w:sz w:val="24"/>
          <w:szCs w:val="24"/>
        </w:rPr>
        <w:t xml:space="preserve"> is responsible for sourcing the tooling</w:t>
      </w:r>
      <w:r w:rsidRPr="00096109">
        <w:rPr>
          <w:rFonts w:cs="Arial"/>
          <w:sz w:val="24"/>
          <w:szCs w:val="24"/>
        </w:rPr>
        <w:t xml:space="preserve"> at the agreed upon tool cost defined in the “Award Letter”</w:t>
      </w:r>
      <w:r w:rsidR="00975585" w:rsidRPr="00096109">
        <w:rPr>
          <w:rFonts w:cs="Arial"/>
          <w:sz w:val="24"/>
          <w:szCs w:val="24"/>
        </w:rPr>
        <w:t xml:space="preserve">.  </w:t>
      </w:r>
      <w:r w:rsidR="00D04E31" w:rsidRPr="00096109">
        <w:rPr>
          <w:rFonts w:cs="Arial"/>
          <w:sz w:val="24"/>
          <w:szCs w:val="24"/>
        </w:rPr>
        <w:t xml:space="preserve">Tool source must be approved by </w:t>
      </w:r>
      <w:r w:rsidR="00E35BC6">
        <w:rPr>
          <w:rFonts w:cs="Arial"/>
          <w:sz w:val="24"/>
          <w:szCs w:val="24"/>
        </w:rPr>
        <w:t>Adient</w:t>
      </w:r>
      <w:r w:rsidR="00D04E31" w:rsidRPr="00096109">
        <w:rPr>
          <w:rFonts w:cs="Arial"/>
          <w:sz w:val="24"/>
          <w:szCs w:val="24"/>
        </w:rPr>
        <w:t>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1F6097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For all tools with PO’s issued by 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>, t</w:t>
      </w:r>
      <w:r w:rsidR="00975585" w:rsidRPr="00096109">
        <w:rPr>
          <w:rFonts w:cs="Arial"/>
          <w:sz w:val="24"/>
          <w:szCs w:val="24"/>
        </w:rPr>
        <w:t xml:space="preserve">he </w:t>
      </w:r>
      <w:r w:rsidR="00BF7E35" w:rsidRPr="00096109">
        <w:rPr>
          <w:rFonts w:cs="Arial"/>
          <w:sz w:val="24"/>
          <w:szCs w:val="24"/>
        </w:rPr>
        <w:t>PS</w:t>
      </w:r>
      <w:r w:rsidR="00975585" w:rsidRPr="00096109">
        <w:rPr>
          <w:rFonts w:cs="Arial"/>
          <w:sz w:val="24"/>
          <w:szCs w:val="24"/>
        </w:rPr>
        <w:t xml:space="preserve"> is responsible to support all </w:t>
      </w:r>
      <w:r w:rsidR="00E35BC6"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&amp; </w:t>
      </w:r>
      <w:r w:rsidR="00E35BC6"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customer audits and provide documentation that reflects the cost of the </w:t>
      </w:r>
      <w:r w:rsidR="00E35BC6"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PO to the </w:t>
      </w:r>
      <w:r w:rsidR="00BF7E35" w:rsidRPr="00096109">
        <w:rPr>
          <w:rFonts w:cs="Arial"/>
          <w:sz w:val="24"/>
          <w:szCs w:val="24"/>
        </w:rPr>
        <w:t>PS</w:t>
      </w:r>
      <w:r w:rsidR="00975585" w:rsidRPr="00096109">
        <w:rPr>
          <w:rFonts w:cs="Arial"/>
          <w:sz w:val="24"/>
          <w:szCs w:val="24"/>
        </w:rPr>
        <w:t xml:space="preserve"> (supplier will provide tool shop invoices).  The supplier will refund any </w:t>
      </w:r>
      <w:r w:rsidR="00E35BC6"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tooling payments that cannot be supported by appropriate documentation to </w:t>
      </w:r>
      <w:r w:rsidR="00E35BC6"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>, in a timely manner.</w:t>
      </w:r>
      <w:r w:rsidR="00706030" w:rsidRPr="00096109">
        <w:rPr>
          <w:rFonts w:cs="Arial"/>
          <w:sz w:val="24"/>
          <w:szCs w:val="24"/>
        </w:rPr>
        <w:t xml:space="preserve"> </w:t>
      </w:r>
      <w:r w:rsidR="00EF1437" w:rsidRPr="00096109">
        <w:rPr>
          <w:rFonts w:cs="Arial"/>
          <w:sz w:val="24"/>
          <w:szCs w:val="24"/>
        </w:rPr>
        <w:t xml:space="preserve">Upon </w:t>
      </w:r>
      <w:r w:rsidR="00E35BC6">
        <w:rPr>
          <w:rFonts w:cs="Arial"/>
          <w:sz w:val="24"/>
          <w:szCs w:val="24"/>
        </w:rPr>
        <w:t>Adient</w:t>
      </w:r>
      <w:r w:rsidR="00EF1437" w:rsidRPr="00096109">
        <w:rPr>
          <w:rFonts w:cs="Arial"/>
          <w:sz w:val="24"/>
          <w:szCs w:val="24"/>
        </w:rPr>
        <w:t xml:space="preserve"> tooling PO, the part supplier must </w:t>
      </w:r>
      <w:r w:rsidR="00BA018D" w:rsidRPr="00096109">
        <w:rPr>
          <w:rFonts w:cs="Arial"/>
          <w:sz w:val="24"/>
          <w:szCs w:val="24"/>
        </w:rPr>
        <w:t xml:space="preserve">have completed the </w:t>
      </w:r>
      <w:r w:rsidR="00E35BC6">
        <w:rPr>
          <w:rFonts w:cs="Arial"/>
          <w:sz w:val="24"/>
          <w:szCs w:val="24"/>
        </w:rPr>
        <w:t>Adient</w:t>
      </w:r>
      <w:r w:rsidR="00BA018D" w:rsidRPr="00096109">
        <w:rPr>
          <w:rFonts w:cs="Arial"/>
          <w:sz w:val="24"/>
          <w:szCs w:val="24"/>
        </w:rPr>
        <w:t xml:space="preserve"> Die Cost Breakdown Worksheet</w:t>
      </w:r>
      <w:r w:rsidR="00EF1437" w:rsidRPr="00096109">
        <w:rPr>
          <w:rFonts w:cs="Arial"/>
          <w:sz w:val="24"/>
          <w:szCs w:val="24"/>
        </w:rPr>
        <w:t xml:space="preserve"> </w:t>
      </w:r>
      <w:r w:rsidR="002F4785" w:rsidRPr="00096109">
        <w:rPr>
          <w:rFonts w:cs="Arial"/>
          <w:sz w:val="24"/>
          <w:szCs w:val="24"/>
        </w:rPr>
        <w:t xml:space="preserve">that </w:t>
      </w:r>
      <w:r w:rsidR="00EF1437" w:rsidRPr="00096109">
        <w:rPr>
          <w:rFonts w:cs="Arial"/>
          <w:sz w:val="24"/>
          <w:szCs w:val="24"/>
        </w:rPr>
        <w:t xml:space="preserve">supports the entire </w:t>
      </w:r>
      <w:r w:rsidR="00E35BC6">
        <w:rPr>
          <w:rFonts w:cs="Arial"/>
          <w:sz w:val="24"/>
          <w:szCs w:val="24"/>
        </w:rPr>
        <w:t>Adient</w:t>
      </w:r>
      <w:r w:rsidR="00EF1437" w:rsidRPr="00096109">
        <w:rPr>
          <w:rFonts w:cs="Arial"/>
          <w:sz w:val="24"/>
          <w:szCs w:val="24"/>
        </w:rPr>
        <w:t xml:space="preserve"> PO amount. Payment will not be made to the </w:t>
      </w:r>
      <w:r w:rsidR="00BF7E35" w:rsidRPr="00096109">
        <w:rPr>
          <w:rFonts w:cs="Arial"/>
          <w:sz w:val="24"/>
          <w:szCs w:val="24"/>
        </w:rPr>
        <w:t>PS</w:t>
      </w:r>
      <w:r w:rsidR="00EF1437" w:rsidRPr="00096109">
        <w:rPr>
          <w:rFonts w:cs="Arial"/>
          <w:sz w:val="24"/>
          <w:szCs w:val="24"/>
        </w:rPr>
        <w:t xml:space="preserve"> until </w:t>
      </w:r>
      <w:r w:rsidR="00BA018D" w:rsidRPr="00096109">
        <w:rPr>
          <w:rFonts w:cs="Arial"/>
          <w:sz w:val="24"/>
          <w:szCs w:val="24"/>
        </w:rPr>
        <w:t xml:space="preserve">the </w:t>
      </w:r>
      <w:r w:rsidR="00E35BC6">
        <w:rPr>
          <w:rFonts w:cs="Arial"/>
          <w:sz w:val="24"/>
          <w:szCs w:val="24"/>
        </w:rPr>
        <w:t>Adient</w:t>
      </w:r>
      <w:r w:rsidR="00380EAF" w:rsidRPr="00096109">
        <w:rPr>
          <w:rFonts w:cs="Arial"/>
          <w:sz w:val="24"/>
          <w:szCs w:val="24"/>
        </w:rPr>
        <w:t xml:space="preserve"> </w:t>
      </w:r>
      <w:r w:rsidR="00BA018D" w:rsidRPr="00096109">
        <w:rPr>
          <w:rFonts w:cs="Arial"/>
          <w:sz w:val="24"/>
          <w:szCs w:val="24"/>
        </w:rPr>
        <w:t>Die</w:t>
      </w:r>
      <w:r w:rsidR="00380EAF" w:rsidRPr="00096109">
        <w:rPr>
          <w:rFonts w:cs="Arial"/>
          <w:sz w:val="24"/>
          <w:szCs w:val="24"/>
        </w:rPr>
        <w:t xml:space="preserve"> Cost Breakdown</w:t>
      </w:r>
      <w:r w:rsidR="00BA018D" w:rsidRPr="00096109">
        <w:rPr>
          <w:rFonts w:cs="Arial"/>
          <w:sz w:val="24"/>
          <w:szCs w:val="24"/>
        </w:rPr>
        <w:t xml:space="preserve"> Worksheet</w:t>
      </w:r>
      <w:r w:rsidR="00EF1437" w:rsidRPr="00096109">
        <w:rPr>
          <w:rFonts w:cs="Arial"/>
          <w:sz w:val="24"/>
          <w:szCs w:val="24"/>
        </w:rPr>
        <w:t xml:space="preserve"> documentation is received.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975585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All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/ </w:t>
      </w:r>
      <w:r w:rsidRPr="00096109">
        <w:rPr>
          <w:rFonts w:cs="Arial"/>
          <w:bCs/>
          <w:sz w:val="24"/>
          <w:szCs w:val="24"/>
        </w:rPr>
        <w:t>OEM CUSTOMER</w:t>
      </w:r>
      <w:r w:rsidRPr="00096109">
        <w:rPr>
          <w:rFonts w:cs="Arial"/>
          <w:sz w:val="24"/>
          <w:szCs w:val="24"/>
        </w:rPr>
        <w:t xml:space="preserve"> owned tools are to be identified per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and </w:t>
      </w:r>
      <w:r w:rsidRPr="00096109">
        <w:rPr>
          <w:rFonts w:cs="Arial"/>
          <w:bCs/>
          <w:sz w:val="24"/>
          <w:szCs w:val="24"/>
        </w:rPr>
        <w:t xml:space="preserve">OEM CUSTOMER </w:t>
      </w:r>
      <w:r w:rsidRPr="00096109">
        <w:rPr>
          <w:rFonts w:cs="Arial"/>
          <w:sz w:val="24"/>
          <w:szCs w:val="24"/>
        </w:rPr>
        <w:t>specifications.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C3602A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following items are considered tooling and therefore the property of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or the OEM:</w:t>
      </w:r>
      <w:r w:rsidR="004009B0" w:rsidRPr="00096109">
        <w:rPr>
          <w:rFonts w:cs="Arial"/>
          <w:sz w:val="24"/>
          <w:szCs w:val="24"/>
        </w:rPr>
        <w:t xml:space="preserve"> </w:t>
      </w:r>
    </w:p>
    <w:p w:rsidR="00C3602A" w:rsidRPr="00096109" w:rsidRDefault="00975585" w:rsidP="00827FAE">
      <w:pPr>
        <w:pStyle w:val="Textkrper3"/>
        <w:numPr>
          <w:ilvl w:val="2"/>
          <w:numId w:val="26"/>
        </w:numPr>
        <w:spacing w:before="120" w:after="240"/>
        <w:rPr>
          <w:rFonts w:cs="Arial"/>
          <w:bCs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Tools specifically made for the production of a part or parts unique to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or </w:t>
      </w:r>
      <w:r w:rsidR="004009B0" w:rsidRPr="00096109">
        <w:rPr>
          <w:rFonts w:cs="Arial"/>
          <w:bCs/>
          <w:sz w:val="24"/>
          <w:szCs w:val="24"/>
        </w:rPr>
        <w:t xml:space="preserve">OEM CUSTOMER.  </w:t>
      </w:r>
    </w:p>
    <w:p w:rsidR="00C3602A" w:rsidRPr="00096109" w:rsidRDefault="00975585" w:rsidP="00827FAE">
      <w:pPr>
        <w:pStyle w:val="Textkrper3"/>
        <w:numPr>
          <w:ilvl w:val="2"/>
          <w:numId w:val="26"/>
        </w:numPr>
        <w:spacing w:before="120" w:after="240"/>
        <w:rPr>
          <w:rFonts w:cs="Arial"/>
          <w:bCs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Unique computer software required directly for the production and or gaging of parts for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or </w:t>
      </w:r>
      <w:r w:rsidRPr="00096109">
        <w:rPr>
          <w:rFonts w:cs="Arial"/>
          <w:bCs/>
          <w:sz w:val="24"/>
          <w:szCs w:val="24"/>
        </w:rPr>
        <w:t>OEM CUSTOMER.</w:t>
      </w:r>
      <w:r w:rsidR="004009B0" w:rsidRPr="00096109">
        <w:rPr>
          <w:rFonts w:cs="Arial"/>
          <w:bCs/>
          <w:sz w:val="24"/>
          <w:szCs w:val="24"/>
        </w:rPr>
        <w:t xml:space="preserve">  </w:t>
      </w:r>
    </w:p>
    <w:p w:rsidR="001859C3" w:rsidRPr="00096109" w:rsidRDefault="00526876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 xml:space="preserve">, for metal stamping, is responsible to affix a metal tag to the tool that contains at minimum: “Property of </w:t>
      </w:r>
      <w:r w:rsidR="00644E64" w:rsidRPr="00096109">
        <w:rPr>
          <w:rFonts w:cs="Arial"/>
          <w:sz w:val="24"/>
          <w:szCs w:val="24"/>
        </w:rPr>
        <w:t>(insert OEM)”</w:t>
      </w:r>
      <w:r w:rsidRPr="00096109">
        <w:rPr>
          <w:rFonts w:cs="Arial"/>
          <w:sz w:val="24"/>
          <w:szCs w:val="24"/>
        </w:rPr>
        <w:t>,</w:t>
      </w:r>
      <w:r w:rsidR="00644E64" w:rsidRPr="00096109">
        <w:rPr>
          <w:rFonts w:cs="Arial"/>
          <w:sz w:val="24"/>
          <w:szCs w:val="24"/>
        </w:rPr>
        <w:t xml:space="preserve"> OEM asset number,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</w:t>
      </w:r>
      <w:r w:rsidR="00644E64" w:rsidRPr="00096109">
        <w:rPr>
          <w:rFonts w:cs="Arial"/>
          <w:sz w:val="24"/>
          <w:szCs w:val="24"/>
        </w:rPr>
        <w:t>Tool Number</w:t>
      </w:r>
      <w:r w:rsidRPr="00096109">
        <w:rPr>
          <w:rFonts w:cs="Arial"/>
          <w:sz w:val="24"/>
          <w:szCs w:val="24"/>
        </w:rPr>
        <w:t xml:space="preserve">,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Part #(s), Part Name(s), Tool Suppliers Name, Address and Job #, Date of Manufacture, Material Thickness, Width, and Feed Pitch, Tool Dimensions (H x W x D), Total Tool Weight, Upper Die Weight and Outside Shut Height”  This is in addition to any other tool markings specified in the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Global Tooling Standa</w:t>
      </w:r>
      <w:r w:rsidR="004009B0" w:rsidRPr="00096109">
        <w:rPr>
          <w:rFonts w:cs="Arial"/>
          <w:sz w:val="24"/>
          <w:szCs w:val="24"/>
        </w:rPr>
        <w:t xml:space="preserve">rds and/or PS tooling standards.  </w:t>
      </w:r>
    </w:p>
    <w:p w:rsidR="001859C3" w:rsidRPr="00096109" w:rsidRDefault="00975585" w:rsidP="00827FAE">
      <w:pPr>
        <w:pStyle w:val="Textkrper3"/>
        <w:numPr>
          <w:ilvl w:val="1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following items are </w:t>
      </w:r>
      <w:r w:rsidRPr="00096109">
        <w:rPr>
          <w:rFonts w:cs="Arial"/>
          <w:b/>
          <w:sz w:val="24"/>
          <w:szCs w:val="24"/>
          <w:u w:val="single"/>
        </w:rPr>
        <w:t>not</w:t>
      </w:r>
      <w:r w:rsidRPr="00096109">
        <w:rPr>
          <w:rFonts w:cs="Arial"/>
          <w:sz w:val="24"/>
          <w:szCs w:val="24"/>
        </w:rPr>
        <w:t xml:space="preserve"> considered tooling and are </w:t>
      </w:r>
      <w:r w:rsidRPr="00096109">
        <w:rPr>
          <w:rFonts w:cs="Arial"/>
          <w:b/>
          <w:sz w:val="24"/>
          <w:szCs w:val="24"/>
          <w:u w:val="single"/>
        </w:rPr>
        <w:t>not</w:t>
      </w:r>
      <w:r w:rsidRPr="00096109">
        <w:rPr>
          <w:rFonts w:cs="Arial"/>
          <w:sz w:val="24"/>
          <w:szCs w:val="24"/>
        </w:rPr>
        <w:t xml:space="preserve"> acceptable as part of a tooling bill, even if they are dedicated but not unique:</w:t>
      </w:r>
      <w:r w:rsidR="004009B0" w:rsidRPr="00096109">
        <w:rPr>
          <w:rFonts w:cs="Arial"/>
          <w:sz w:val="24"/>
          <w:szCs w:val="24"/>
        </w:rPr>
        <w:t xml:space="preserve"> </w:t>
      </w:r>
    </w:p>
    <w:p w:rsidR="001859C3" w:rsidRPr="00096109" w:rsidRDefault="00975585" w:rsidP="00827FAE">
      <w:pPr>
        <w:pStyle w:val="Textkrper3"/>
        <w:numPr>
          <w:ilvl w:val="2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Generic tooling, general-purpose items, processing or capital equipment, </w:t>
      </w:r>
      <w:r w:rsidR="00644E64" w:rsidRPr="00096109">
        <w:rPr>
          <w:rFonts w:cs="Arial"/>
          <w:sz w:val="24"/>
          <w:szCs w:val="24"/>
        </w:rPr>
        <w:t xml:space="preserve">quick change plates (common plates), </w:t>
      </w:r>
      <w:r w:rsidRPr="00096109">
        <w:rPr>
          <w:rFonts w:cs="Arial"/>
          <w:sz w:val="24"/>
          <w:szCs w:val="24"/>
        </w:rPr>
        <w:t>and computer hardware.</w:t>
      </w:r>
      <w:r w:rsidR="00EE69EC" w:rsidRPr="00096109">
        <w:rPr>
          <w:rFonts w:cs="Arial"/>
          <w:sz w:val="24"/>
          <w:szCs w:val="24"/>
        </w:rPr>
        <w:t xml:space="preserve">  Lower common plates are allowed on transfer dies as defined in the </w:t>
      </w:r>
      <w:r w:rsidR="00E35BC6">
        <w:rPr>
          <w:rFonts w:cs="Arial"/>
          <w:sz w:val="24"/>
          <w:szCs w:val="24"/>
        </w:rPr>
        <w:t>Adient</w:t>
      </w:r>
      <w:r w:rsidR="00EE69EC" w:rsidRPr="00096109">
        <w:rPr>
          <w:rFonts w:cs="Arial"/>
          <w:sz w:val="24"/>
          <w:szCs w:val="24"/>
        </w:rPr>
        <w:t xml:space="preserve"> Global Tooling Standards.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975585" w:rsidP="00827FAE">
      <w:pPr>
        <w:pStyle w:val="Textkrper3"/>
        <w:numPr>
          <w:ilvl w:val="2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lastRenderedPageBreak/>
        <w:t>The cost of or associated with automation, test equipment, process control equipment, manufacturing learning curve, launch costs, operator training, and vision cameras</w:t>
      </w:r>
      <w:r w:rsidR="00EE69EC" w:rsidRPr="00096109">
        <w:rPr>
          <w:rFonts w:cs="Arial"/>
          <w:sz w:val="24"/>
          <w:szCs w:val="24"/>
        </w:rPr>
        <w:t>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975585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Tool cost submitted to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is limited to the following: design of tools, tool build labor, tool build materials, one (1) tool sampling,</w:t>
      </w:r>
      <w:r w:rsidR="00813522" w:rsidRPr="00096109">
        <w:rPr>
          <w:rFonts w:cs="Arial"/>
          <w:sz w:val="24"/>
          <w:szCs w:val="24"/>
        </w:rPr>
        <w:t xml:space="preserve"> tryout material,</w:t>
      </w:r>
      <w:r w:rsidRPr="00096109">
        <w:rPr>
          <w:rFonts w:cs="Arial"/>
          <w:sz w:val="24"/>
          <w:szCs w:val="24"/>
        </w:rPr>
        <w:t xml:space="preserve"> and initial tool shipment to the manufacturing facility.  </w:t>
      </w:r>
      <w:r w:rsidR="001C0D5E" w:rsidRPr="00096109">
        <w:rPr>
          <w:rFonts w:cs="Arial"/>
          <w:sz w:val="24"/>
          <w:szCs w:val="24"/>
        </w:rPr>
        <w:t xml:space="preserve">All gages must be quoted as a separate line item.  </w:t>
      </w:r>
      <w:r w:rsidRPr="00096109">
        <w:rPr>
          <w:rFonts w:cs="Arial"/>
          <w:sz w:val="24"/>
          <w:szCs w:val="24"/>
        </w:rPr>
        <w:t xml:space="preserve">Costs of capability studies are considered part of the supplier's overhead. A general percentage markup of tooling is not allowed.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must be notified of, and reserves the right to be present for any run-at-rates of new tooling.</w:t>
      </w:r>
      <w:r w:rsidR="00813522" w:rsidRPr="00096109">
        <w:rPr>
          <w:rFonts w:cs="Arial"/>
          <w:sz w:val="24"/>
          <w:szCs w:val="24"/>
        </w:rPr>
        <w:t xml:space="preserve">  Costs associated with managing the tool build </w:t>
      </w:r>
      <w:r w:rsidR="00CA4380" w:rsidRPr="00096109">
        <w:rPr>
          <w:rFonts w:cs="Arial"/>
          <w:sz w:val="24"/>
          <w:szCs w:val="24"/>
        </w:rPr>
        <w:t xml:space="preserve">and launch </w:t>
      </w:r>
      <w:r w:rsidR="00813522" w:rsidRPr="00096109">
        <w:rPr>
          <w:rFonts w:cs="Arial"/>
          <w:sz w:val="24"/>
          <w:szCs w:val="24"/>
        </w:rPr>
        <w:t>are also considered part of the supplier’s overhead and will not be reimbursed under any circumstances.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E35BC6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reserves the right to decline payment of any tooling cost not supported by a </w:t>
      </w:r>
      <w:r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Tooling Purchase Order.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EB75E7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A PS that designs, develops, or manufactures tooling in-house will provide all associated overhead costs in fully accounted tooling labor rates to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upon request.  In addition, before placement of any tooling work with internal tool shops, the PS will provide evidence to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of competitive quoting with outside tool sources.  PS records will be subject to audit.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2F4785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Engineering change costs </w:t>
      </w:r>
      <w:r w:rsidR="00975585" w:rsidRPr="00096109">
        <w:rPr>
          <w:rFonts w:cs="Arial"/>
          <w:sz w:val="24"/>
          <w:szCs w:val="24"/>
        </w:rPr>
        <w:t>must be validated individually by review of the tool cost breakdown</w:t>
      </w:r>
      <w:r w:rsidRPr="00096109">
        <w:rPr>
          <w:rFonts w:cs="Arial"/>
          <w:sz w:val="24"/>
          <w:szCs w:val="24"/>
        </w:rPr>
        <w:t xml:space="preserve"> sheet</w:t>
      </w:r>
      <w:r w:rsidR="00975585" w:rsidRPr="00096109">
        <w:rPr>
          <w:rFonts w:cs="Arial"/>
          <w:sz w:val="24"/>
          <w:szCs w:val="24"/>
        </w:rPr>
        <w:t xml:space="preserve"> prior to issue of purchase orders.  Changes that occur to tools after the tool build is complete are also required to have costs validated prior to issu</w:t>
      </w:r>
      <w:r w:rsidRPr="00096109">
        <w:rPr>
          <w:rFonts w:cs="Arial"/>
          <w:sz w:val="24"/>
          <w:szCs w:val="24"/>
        </w:rPr>
        <w:t>ance</w:t>
      </w:r>
      <w:r w:rsidR="00975585" w:rsidRPr="00096109">
        <w:rPr>
          <w:rFonts w:cs="Arial"/>
          <w:sz w:val="24"/>
          <w:szCs w:val="24"/>
        </w:rPr>
        <w:t xml:space="preserve"> of purchase orders. </w:t>
      </w:r>
      <w:r w:rsidR="00E35BC6"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reserves the right to conduct run-at-rates after changes have been completed.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E35BC6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must be notified and agree to, in advance, the transferring of tools from one manufacturing site to another.  The </w:t>
      </w:r>
      <w:r w:rsidR="00BF7E35" w:rsidRPr="00096109">
        <w:rPr>
          <w:rFonts w:cs="Arial"/>
          <w:sz w:val="24"/>
          <w:szCs w:val="24"/>
        </w:rPr>
        <w:t>PS</w:t>
      </w:r>
      <w:r w:rsidR="00975585" w:rsidRPr="00096109">
        <w:rPr>
          <w:rFonts w:cs="Arial"/>
          <w:sz w:val="24"/>
          <w:szCs w:val="24"/>
        </w:rPr>
        <w:t xml:space="preserve"> will cover all costs associated with the transfer of tools.  </w:t>
      </w:r>
      <w:r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reserves the right to re-PSO</w:t>
      </w:r>
      <w:r w:rsidR="007B77C8" w:rsidRPr="00096109">
        <w:rPr>
          <w:rFonts w:cs="Arial"/>
          <w:sz w:val="24"/>
          <w:szCs w:val="24"/>
        </w:rPr>
        <w:t xml:space="preserve"> (Part Sign Off) </w:t>
      </w:r>
      <w:r w:rsidR="00975585" w:rsidRPr="00096109">
        <w:rPr>
          <w:rFonts w:cs="Arial"/>
          <w:sz w:val="24"/>
          <w:szCs w:val="24"/>
        </w:rPr>
        <w:t>after tools have been transferred.</w:t>
      </w:r>
      <w:r w:rsidR="001859C3" w:rsidRPr="00096109">
        <w:rPr>
          <w:rFonts w:cs="Arial"/>
          <w:sz w:val="24"/>
          <w:szCs w:val="24"/>
        </w:rPr>
        <w:t xml:space="preserve">  </w:t>
      </w:r>
      <w:r w:rsidR="00975585" w:rsidRPr="00096109">
        <w:rPr>
          <w:rFonts w:cs="Arial"/>
          <w:sz w:val="24"/>
          <w:szCs w:val="24"/>
        </w:rPr>
        <w:t xml:space="preserve">The </w:t>
      </w:r>
      <w:r w:rsidR="00BF7E35" w:rsidRPr="00096109">
        <w:rPr>
          <w:rFonts w:cs="Arial"/>
          <w:sz w:val="24"/>
          <w:szCs w:val="24"/>
        </w:rPr>
        <w:t>PS</w:t>
      </w:r>
      <w:r w:rsidR="00975585" w:rsidRPr="00096109">
        <w:rPr>
          <w:rFonts w:cs="Arial"/>
          <w:sz w:val="24"/>
          <w:szCs w:val="24"/>
        </w:rPr>
        <w:t xml:space="preserve"> is responsible for design and build of all tooling used to manufacture parts awarded to the Supplier and shall meet all applicable </w:t>
      </w:r>
      <w:r>
        <w:rPr>
          <w:rFonts w:cs="Arial"/>
          <w:sz w:val="24"/>
          <w:szCs w:val="24"/>
        </w:rPr>
        <w:t>Adient</w:t>
      </w:r>
      <w:r w:rsidR="00975585" w:rsidRPr="00096109">
        <w:rPr>
          <w:rFonts w:cs="Arial"/>
          <w:sz w:val="24"/>
          <w:szCs w:val="24"/>
        </w:rPr>
        <w:t xml:space="preserve"> </w:t>
      </w:r>
      <w:r w:rsidR="00000C20" w:rsidRPr="00096109">
        <w:rPr>
          <w:rFonts w:cs="Arial"/>
          <w:sz w:val="24"/>
          <w:szCs w:val="24"/>
        </w:rPr>
        <w:t xml:space="preserve">Global </w:t>
      </w:r>
      <w:r w:rsidR="00975585" w:rsidRPr="00096109">
        <w:rPr>
          <w:rFonts w:cs="Arial"/>
          <w:sz w:val="24"/>
          <w:szCs w:val="24"/>
        </w:rPr>
        <w:t>Tool Standards.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975585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 xml:space="preserve"> is responsible for the tooling for the entire life of the program, including the service period after production balance-out.  Supplier will notify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in advance of implementing any engineering change if that change will impact the tool’s ability to provide service part requirements.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975585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>/Tool Shop building the tools should comply with QS 9000, TE Supplement.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975585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 xml:space="preserve"> is responsible for the tooling preventative maintenance and spare parts so as to meet all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manufacturing, delivery and quality requirements. Preventative maintenance plans must be documented and kept on file by the Supplier.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reserves the rights to review the Suppliers preventative maintenance and spare parts plans.</w:t>
      </w:r>
      <w:r w:rsidR="00195A80" w:rsidRPr="00096109">
        <w:rPr>
          <w:rFonts w:cs="Arial"/>
          <w:sz w:val="24"/>
          <w:szCs w:val="24"/>
        </w:rPr>
        <w:t xml:space="preserve">  If </w:t>
      </w:r>
      <w:r w:rsidR="007B77C8" w:rsidRPr="00096109">
        <w:rPr>
          <w:rFonts w:cs="Arial"/>
          <w:sz w:val="24"/>
          <w:szCs w:val="24"/>
        </w:rPr>
        <w:t xml:space="preserve">adequate </w:t>
      </w:r>
      <w:r w:rsidR="00195A80" w:rsidRPr="00096109">
        <w:rPr>
          <w:rFonts w:cs="Arial"/>
          <w:sz w:val="24"/>
          <w:szCs w:val="24"/>
        </w:rPr>
        <w:t xml:space="preserve">record of a </w:t>
      </w:r>
      <w:r w:rsidR="00195A80" w:rsidRPr="00096109">
        <w:rPr>
          <w:rFonts w:cs="Arial"/>
          <w:sz w:val="24"/>
          <w:szCs w:val="24"/>
        </w:rPr>
        <w:lastRenderedPageBreak/>
        <w:t xml:space="preserve">preventative maintenance </w:t>
      </w:r>
      <w:r w:rsidR="007B77C8" w:rsidRPr="00096109">
        <w:rPr>
          <w:rFonts w:cs="Arial"/>
          <w:sz w:val="24"/>
          <w:szCs w:val="24"/>
        </w:rPr>
        <w:t>cannot be documented</w:t>
      </w:r>
      <w:r w:rsidR="002F4785" w:rsidRPr="00096109">
        <w:rPr>
          <w:rFonts w:cs="Arial"/>
          <w:color w:val="FF0000"/>
          <w:sz w:val="24"/>
          <w:szCs w:val="24"/>
        </w:rPr>
        <w:t>,</w:t>
      </w:r>
      <w:r w:rsidR="00195A80" w:rsidRPr="00096109">
        <w:rPr>
          <w:rFonts w:cs="Arial"/>
          <w:sz w:val="24"/>
          <w:szCs w:val="24"/>
        </w:rPr>
        <w:t xml:space="preserve"> refurbishment costs to bring the function of the tool up to an acceptable level will be at the expense of the </w:t>
      </w:r>
      <w:r w:rsidR="00BF7E35" w:rsidRPr="00096109">
        <w:rPr>
          <w:rFonts w:cs="Arial"/>
          <w:sz w:val="24"/>
          <w:szCs w:val="24"/>
        </w:rPr>
        <w:t>PS</w:t>
      </w:r>
      <w:r w:rsidR="007B77C8" w:rsidRPr="00096109">
        <w:rPr>
          <w:rFonts w:cs="Arial"/>
          <w:sz w:val="24"/>
          <w:szCs w:val="24"/>
        </w:rPr>
        <w:t>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1859C3" w:rsidRPr="00096109" w:rsidRDefault="00975585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The </w:t>
      </w:r>
      <w:r w:rsidR="00BF7E35" w:rsidRPr="00096109">
        <w:rPr>
          <w:rFonts w:cs="Arial"/>
          <w:sz w:val="24"/>
          <w:szCs w:val="24"/>
        </w:rPr>
        <w:t>PS</w:t>
      </w:r>
      <w:r w:rsidRPr="00096109">
        <w:rPr>
          <w:rFonts w:cs="Arial"/>
          <w:sz w:val="24"/>
          <w:szCs w:val="24"/>
        </w:rPr>
        <w:t xml:space="preserve"> will insure and protect said property against loss or damage.</w:t>
      </w:r>
      <w:r w:rsidR="004009B0" w:rsidRPr="00096109">
        <w:rPr>
          <w:rFonts w:cs="Arial"/>
          <w:sz w:val="24"/>
          <w:szCs w:val="24"/>
        </w:rPr>
        <w:t xml:space="preserve">  </w:t>
      </w:r>
    </w:p>
    <w:p w:rsidR="00ED0E47" w:rsidRPr="00096109" w:rsidRDefault="00ED0E47" w:rsidP="00827FAE">
      <w:pPr>
        <w:pStyle w:val="Textkrper3"/>
        <w:numPr>
          <w:ilvl w:val="0"/>
          <w:numId w:val="26"/>
        </w:numPr>
        <w:spacing w:before="120" w:after="240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 xml:space="preserve">In the event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in</w:t>
      </w:r>
      <w:r w:rsidR="00E41192" w:rsidRPr="00096109">
        <w:rPr>
          <w:rFonts w:cs="Arial"/>
          <w:sz w:val="24"/>
          <w:szCs w:val="24"/>
        </w:rPr>
        <w:t>-</w:t>
      </w:r>
      <w:r w:rsidRPr="00096109">
        <w:rPr>
          <w:rFonts w:cs="Arial"/>
          <w:sz w:val="24"/>
          <w:szCs w:val="24"/>
        </w:rPr>
        <w:t>sources</w:t>
      </w:r>
      <w:r w:rsidR="00E41192" w:rsidRPr="00096109">
        <w:rPr>
          <w:rFonts w:cs="Arial"/>
          <w:sz w:val="24"/>
          <w:szCs w:val="24"/>
        </w:rPr>
        <w:t xml:space="preserve"> or re-sources</w:t>
      </w:r>
      <w:r w:rsidRPr="00096109">
        <w:rPr>
          <w:rFonts w:cs="Arial"/>
          <w:sz w:val="24"/>
          <w:szCs w:val="24"/>
        </w:rPr>
        <w:t xml:space="preserve"> any tool from the PS, the tool must maintain all </w:t>
      </w:r>
      <w:r w:rsidR="00E35BC6">
        <w:rPr>
          <w:rFonts w:cs="Arial"/>
          <w:sz w:val="24"/>
          <w:szCs w:val="24"/>
        </w:rPr>
        <w:t>Adient</w:t>
      </w:r>
      <w:r w:rsidRPr="00096109">
        <w:rPr>
          <w:rFonts w:cs="Arial"/>
          <w:sz w:val="24"/>
          <w:szCs w:val="24"/>
        </w:rPr>
        <w:t xml:space="preserve"> Tooling Standards as defined in t</w:t>
      </w:r>
      <w:r w:rsidR="00AD230B" w:rsidRPr="00096109">
        <w:rPr>
          <w:rFonts w:cs="Arial"/>
          <w:sz w:val="24"/>
          <w:szCs w:val="24"/>
        </w:rPr>
        <w:t xml:space="preserve">he approved tool design by the </w:t>
      </w:r>
      <w:r w:rsidR="00E35BC6">
        <w:rPr>
          <w:rFonts w:cs="Arial"/>
          <w:sz w:val="24"/>
          <w:szCs w:val="24"/>
        </w:rPr>
        <w:t>Adient</w:t>
      </w:r>
      <w:r w:rsidR="00AD230B" w:rsidRPr="00096109">
        <w:rPr>
          <w:rFonts w:cs="Arial"/>
          <w:sz w:val="24"/>
          <w:szCs w:val="24"/>
        </w:rPr>
        <w:t xml:space="preserve"> ATE’s.  As an example: If the tool was designed to </w:t>
      </w:r>
      <w:r w:rsidR="00E35BC6">
        <w:rPr>
          <w:rFonts w:cs="Arial"/>
          <w:sz w:val="24"/>
          <w:szCs w:val="24"/>
        </w:rPr>
        <w:t>Adient</w:t>
      </w:r>
      <w:r w:rsidR="00AD230B" w:rsidRPr="00096109">
        <w:rPr>
          <w:rFonts w:cs="Arial"/>
          <w:sz w:val="24"/>
          <w:szCs w:val="24"/>
        </w:rPr>
        <w:t xml:space="preserve"> Tooling Standards with a shut height of 24”, the tool must exhibit a 24” shut height upon shipment of the tool to a </w:t>
      </w:r>
      <w:r w:rsidR="00E35BC6">
        <w:rPr>
          <w:rFonts w:cs="Arial"/>
          <w:sz w:val="24"/>
          <w:szCs w:val="24"/>
        </w:rPr>
        <w:t>Adient</w:t>
      </w:r>
      <w:r w:rsidR="00AD230B" w:rsidRPr="00096109">
        <w:rPr>
          <w:rFonts w:cs="Arial"/>
          <w:sz w:val="24"/>
          <w:szCs w:val="24"/>
        </w:rPr>
        <w:t xml:space="preserve"> facility</w:t>
      </w:r>
      <w:r w:rsidR="00E41192" w:rsidRPr="00096109">
        <w:rPr>
          <w:rFonts w:cs="Arial"/>
          <w:sz w:val="24"/>
          <w:szCs w:val="24"/>
        </w:rPr>
        <w:t xml:space="preserve"> or new PS.  If the tool is shipped not meeting the </w:t>
      </w:r>
      <w:r w:rsidR="00E35BC6">
        <w:rPr>
          <w:rFonts w:cs="Arial"/>
          <w:sz w:val="24"/>
          <w:szCs w:val="24"/>
        </w:rPr>
        <w:t>Adient</w:t>
      </w:r>
      <w:r w:rsidR="00E41192" w:rsidRPr="00096109">
        <w:rPr>
          <w:rFonts w:cs="Arial"/>
          <w:sz w:val="24"/>
          <w:szCs w:val="24"/>
        </w:rPr>
        <w:t xml:space="preserve"> Tooling Standard </w:t>
      </w:r>
      <w:r w:rsidR="00E35BC6">
        <w:rPr>
          <w:rFonts w:cs="Arial"/>
          <w:sz w:val="24"/>
          <w:szCs w:val="24"/>
        </w:rPr>
        <w:t>Adient</w:t>
      </w:r>
      <w:r w:rsidR="00E41192" w:rsidRPr="00096109">
        <w:rPr>
          <w:rFonts w:cs="Arial"/>
          <w:sz w:val="24"/>
          <w:szCs w:val="24"/>
        </w:rPr>
        <w:t xml:space="preserve"> will correct the tool to standard and debit the PS all costs associated.</w:t>
      </w:r>
    </w:p>
    <w:p w:rsidR="006A6566" w:rsidRPr="00096109" w:rsidRDefault="006A6566" w:rsidP="00E66E6F">
      <w:pPr>
        <w:tabs>
          <w:tab w:val="left" w:pos="720"/>
        </w:tabs>
        <w:jc w:val="center"/>
        <w:rPr>
          <w:rFonts w:cs="Arial"/>
          <w:sz w:val="24"/>
          <w:szCs w:val="24"/>
        </w:rPr>
      </w:pPr>
    </w:p>
    <w:p w:rsidR="00975585" w:rsidRPr="00096109" w:rsidRDefault="00CB449A" w:rsidP="00E66E6F">
      <w:pPr>
        <w:tabs>
          <w:tab w:val="left" w:pos="720"/>
        </w:tabs>
        <w:jc w:val="center"/>
        <w:rPr>
          <w:rFonts w:cs="Arial"/>
          <w:sz w:val="24"/>
          <w:szCs w:val="24"/>
        </w:rPr>
      </w:pPr>
      <w:r w:rsidRPr="00096109">
        <w:rPr>
          <w:rFonts w:cs="Arial"/>
          <w:sz w:val="24"/>
          <w:szCs w:val="24"/>
        </w:rPr>
        <w:t>*</w:t>
      </w:r>
      <w:r w:rsidRPr="00096109">
        <w:rPr>
          <w:rFonts w:cs="Arial"/>
          <w:b/>
          <w:bCs/>
          <w:sz w:val="24"/>
          <w:szCs w:val="24"/>
        </w:rPr>
        <w:t>Include as “Attachment” in SSOW</w:t>
      </w:r>
      <w:r w:rsidRPr="00096109">
        <w:rPr>
          <w:rFonts w:cs="Arial"/>
          <w:sz w:val="24"/>
          <w:szCs w:val="24"/>
        </w:rPr>
        <w:t>*</w:t>
      </w:r>
    </w:p>
    <w:p w:rsidR="00E66E6F" w:rsidRPr="00096109" w:rsidRDefault="00E66E6F">
      <w:pPr>
        <w:rPr>
          <w:rFonts w:cs="Arial"/>
          <w:color w:val="FF0000"/>
          <w:sz w:val="24"/>
          <w:szCs w:val="24"/>
        </w:rPr>
      </w:pPr>
    </w:p>
    <w:p w:rsidR="002F4785" w:rsidRPr="00096109" w:rsidRDefault="002F4785">
      <w:pPr>
        <w:tabs>
          <w:tab w:val="left" w:pos="720"/>
        </w:tabs>
        <w:ind w:left="360"/>
        <w:jc w:val="center"/>
        <w:rPr>
          <w:rFonts w:cs="Arial"/>
          <w:color w:val="FF0000"/>
          <w:sz w:val="24"/>
          <w:szCs w:val="24"/>
        </w:rPr>
      </w:pPr>
      <w:r w:rsidRPr="00096109">
        <w:rPr>
          <w:rFonts w:cs="Arial"/>
          <w:color w:val="FF0000"/>
          <w:sz w:val="24"/>
          <w:szCs w:val="24"/>
        </w:rPr>
        <w:t>See Rasic chart below</w:t>
      </w:r>
    </w:p>
    <w:p w:rsidR="00E41192" w:rsidRPr="00096109" w:rsidRDefault="00E41192">
      <w:pPr>
        <w:tabs>
          <w:tab w:val="left" w:pos="720"/>
        </w:tabs>
        <w:ind w:left="360"/>
        <w:jc w:val="center"/>
        <w:rPr>
          <w:rFonts w:cs="Arial"/>
          <w:b/>
          <w:sz w:val="24"/>
          <w:szCs w:val="24"/>
          <w:u w:val="single"/>
        </w:rPr>
      </w:pPr>
    </w:p>
    <w:p w:rsidR="00E41192" w:rsidRPr="00096109" w:rsidRDefault="00E41192">
      <w:pPr>
        <w:tabs>
          <w:tab w:val="left" w:pos="720"/>
        </w:tabs>
        <w:ind w:left="360"/>
        <w:jc w:val="center"/>
        <w:rPr>
          <w:rFonts w:cs="Arial"/>
          <w:b/>
          <w:sz w:val="24"/>
          <w:szCs w:val="24"/>
          <w:u w:val="single"/>
        </w:rPr>
      </w:pPr>
    </w:p>
    <w:p w:rsidR="003C3A70" w:rsidRPr="00096109" w:rsidRDefault="003C3A70">
      <w:pPr>
        <w:rPr>
          <w:rFonts w:cs="Arial"/>
          <w:b/>
          <w:sz w:val="24"/>
          <w:szCs w:val="24"/>
          <w:u w:val="single"/>
        </w:rPr>
      </w:pPr>
    </w:p>
    <w:p w:rsidR="00984CED" w:rsidRPr="00096109" w:rsidRDefault="007F5B76" w:rsidP="002C55C0">
      <w:pPr>
        <w:jc w:val="center"/>
        <w:rPr>
          <w:rFonts w:cs="Arial"/>
          <w:b/>
          <w:sz w:val="24"/>
          <w:szCs w:val="24"/>
          <w:u w:val="single"/>
        </w:rPr>
      </w:pPr>
      <w:r w:rsidRPr="00096109">
        <w:rPr>
          <w:rFonts w:cs="Arial"/>
          <w:b/>
          <w:sz w:val="24"/>
          <w:szCs w:val="24"/>
          <w:u w:val="single"/>
        </w:rPr>
        <w:br w:type="page"/>
      </w:r>
      <w:r w:rsidR="00E35BC6">
        <w:rPr>
          <w:rFonts w:cs="Arial"/>
          <w:b/>
          <w:sz w:val="24"/>
          <w:szCs w:val="24"/>
          <w:u w:val="single"/>
        </w:rPr>
        <w:lastRenderedPageBreak/>
        <w:t>Adient</w:t>
      </w:r>
      <w:r w:rsidR="00984CED" w:rsidRPr="00096109">
        <w:rPr>
          <w:rFonts w:cs="Arial"/>
          <w:b/>
          <w:sz w:val="24"/>
          <w:szCs w:val="24"/>
          <w:u w:val="single"/>
        </w:rPr>
        <w:t xml:space="preserve"> Sourced Tools</w:t>
      </w:r>
    </w:p>
    <w:p w:rsidR="002C55C0" w:rsidRPr="00096109" w:rsidRDefault="002C55C0" w:rsidP="002C55C0">
      <w:pPr>
        <w:jc w:val="center"/>
        <w:rPr>
          <w:rFonts w:cs="Arial"/>
          <w:b/>
          <w:sz w:val="24"/>
          <w:szCs w:val="24"/>
          <w:u w:val="single"/>
        </w:rPr>
      </w:pPr>
    </w:p>
    <w:p w:rsidR="00984CED" w:rsidRPr="00096109" w:rsidRDefault="00984CED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</w:p>
    <w:p w:rsidR="00984CED" w:rsidRPr="00096109" w:rsidRDefault="00984CED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</w:p>
    <w:p w:rsidR="00984CED" w:rsidRPr="00096109" w:rsidRDefault="00096109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  <w:r>
        <w:rPr>
          <w:rFonts w:cs="Arial"/>
          <w:b/>
          <w:strike/>
          <w:noProof/>
          <w:sz w:val="24"/>
          <w:szCs w:val="24"/>
          <w:u w:val="single"/>
        </w:rPr>
        <w:drawing>
          <wp:inline distT="0" distB="0" distL="0" distR="0">
            <wp:extent cx="6219825" cy="5076825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ED" w:rsidRPr="00096109" w:rsidRDefault="00984CED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</w:p>
    <w:p w:rsidR="00984CED" w:rsidRPr="00096109" w:rsidRDefault="00984CED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</w:p>
    <w:p w:rsidR="00984CED" w:rsidRPr="00096109" w:rsidRDefault="007F5B76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  <w:r w:rsidRPr="00096109">
        <w:rPr>
          <w:rFonts w:cs="Arial"/>
          <w:b/>
          <w:sz w:val="24"/>
          <w:szCs w:val="24"/>
          <w:u w:val="single"/>
        </w:rPr>
        <w:br w:type="page"/>
      </w:r>
      <w:r w:rsidR="00984CED" w:rsidRPr="00096109">
        <w:rPr>
          <w:rFonts w:cs="Arial"/>
          <w:b/>
          <w:sz w:val="24"/>
          <w:szCs w:val="24"/>
          <w:u w:val="single"/>
        </w:rPr>
        <w:lastRenderedPageBreak/>
        <w:t>Part Supplier Sourced Tools</w:t>
      </w:r>
    </w:p>
    <w:p w:rsidR="00984CED" w:rsidRPr="00096109" w:rsidRDefault="00984CED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</w:p>
    <w:p w:rsidR="00984CED" w:rsidRPr="00096109" w:rsidRDefault="00984CED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</w:p>
    <w:p w:rsidR="00984CED" w:rsidRPr="00096109" w:rsidRDefault="00984CED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</w:p>
    <w:p w:rsidR="00984CED" w:rsidRPr="00096109" w:rsidRDefault="00096109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  <w:r>
        <w:rPr>
          <w:rFonts w:cs="Arial"/>
          <w:b/>
          <w:strike/>
          <w:noProof/>
          <w:sz w:val="24"/>
          <w:szCs w:val="24"/>
          <w:u w:val="single"/>
        </w:rPr>
        <w:drawing>
          <wp:inline distT="0" distB="0" distL="0" distR="0">
            <wp:extent cx="6086475" cy="51435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0AF" w:rsidRPr="00096109" w:rsidRDefault="00B970AF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</w:p>
    <w:p w:rsidR="00B970AF" w:rsidRPr="00096109" w:rsidRDefault="00B970AF">
      <w:pPr>
        <w:tabs>
          <w:tab w:val="left" w:pos="720"/>
        </w:tabs>
        <w:ind w:left="360"/>
        <w:jc w:val="center"/>
        <w:rPr>
          <w:rFonts w:cs="Arial"/>
          <w:b/>
          <w:strike/>
          <w:sz w:val="24"/>
          <w:szCs w:val="24"/>
          <w:u w:val="single"/>
        </w:rPr>
      </w:pPr>
    </w:p>
    <w:sectPr w:rsidR="00B970AF" w:rsidRPr="00096109" w:rsidSect="00542306">
      <w:headerReference w:type="default" r:id="rId9"/>
      <w:footerReference w:type="default" r:id="rId10"/>
      <w:pgSz w:w="12240" w:h="15840" w:code="1"/>
      <w:pgMar w:top="720" w:right="720" w:bottom="720" w:left="720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A2" w:rsidRDefault="004770A2">
      <w:r>
        <w:separator/>
      </w:r>
    </w:p>
  </w:endnote>
  <w:endnote w:type="continuationSeparator" w:id="0">
    <w:p w:rsidR="004770A2" w:rsidRDefault="0047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85" w:rsidRDefault="00975585">
    <w:pPr>
      <w:pStyle w:val="Fuzeile"/>
      <w:rPr>
        <w:sz w:val="16"/>
        <w:szCs w:val="22"/>
      </w:rPr>
    </w:pPr>
  </w:p>
  <w:p w:rsidR="00975585" w:rsidRDefault="00551901" w:rsidP="00551901">
    <w:pPr>
      <w:pStyle w:val="Fuzeile"/>
      <w:tabs>
        <w:tab w:val="clear" w:pos="8640"/>
        <w:tab w:val="left" w:pos="5040"/>
        <w:tab w:val="left" w:pos="5760"/>
        <w:tab w:val="left" w:pos="6480"/>
        <w:tab w:val="left" w:pos="7200"/>
        <w:tab w:val="left" w:pos="792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Seitenzahl"/>
        <w:rFonts w:cs="Arial"/>
        <w:sz w:val="16"/>
        <w:szCs w:val="16"/>
      </w:rPr>
      <w:t xml:space="preserve">Page </w:t>
    </w:r>
    <w:r w:rsidR="00F104E5">
      <w:rPr>
        <w:rStyle w:val="Seitenzahl"/>
        <w:rFonts w:cs="Arial"/>
        <w:sz w:val="16"/>
        <w:szCs w:val="16"/>
      </w:rPr>
      <w:fldChar w:fldCharType="begin"/>
    </w:r>
    <w:r>
      <w:rPr>
        <w:rStyle w:val="Seitenzahl"/>
        <w:rFonts w:cs="Arial"/>
        <w:sz w:val="16"/>
        <w:szCs w:val="16"/>
      </w:rPr>
      <w:instrText xml:space="preserve"> PAGE </w:instrText>
    </w:r>
    <w:r w:rsidR="00F104E5">
      <w:rPr>
        <w:rStyle w:val="Seitenzahl"/>
        <w:rFonts w:cs="Arial"/>
        <w:sz w:val="16"/>
        <w:szCs w:val="16"/>
      </w:rPr>
      <w:fldChar w:fldCharType="separate"/>
    </w:r>
    <w:r w:rsidR="00E35BC6">
      <w:rPr>
        <w:rStyle w:val="Seitenzahl"/>
        <w:rFonts w:cs="Arial"/>
        <w:noProof/>
        <w:sz w:val="16"/>
        <w:szCs w:val="16"/>
      </w:rPr>
      <w:t>1</w:t>
    </w:r>
    <w:r w:rsidR="00F104E5">
      <w:rPr>
        <w:rStyle w:val="Seitenzahl"/>
        <w:rFonts w:cs="Arial"/>
        <w:sz w:val="16"/>
        <w:szCs w:val="16"/>
      </w:rPr>
      <w:fldChar w:fldCharType="end"/>
    </w:r>
    <w:r>
      <w:rPr>
        <w:rStyle w:val="Seitenzahl"/>
        <w:rFonts w:cs="Arial"/>
        <w:sz w:val="16"/>
        <w:szCs w:val="16"/>
      </w:rPr>
      <w:t xml:space="preserve"> of </w:t>
    </w:r>
    <w:r w:rsidR="00F104E5">
      <w:rPr>
        <w:rStyle w:val="Seitenzahl"/>
        <w:rFonts w:cs="Arial"/>
        <w:sz w:val="16"/>
        <w:szCs w:val="16"/>
      </w:rPr>
      <w:fldChar w:fldCharType="begin"/>
    </w:r>
    <w:r>
      <w:rPr>
        <w:rStyle w:val="Seitenzahl"/>
        <w:rFonts w:cs="Arial"/>
        <w:sz w:val="16"/>
        <w:szCs w:val="16"/>
      </w:rPr>
      <w:instrText xml:space="preserve"> NUMPAGES </w:instrText>
    </w:r>
    <w:r w:rsidR="00F104E5">
      <w:rPr>
        <w:rStyle w:val="Seitenzahl"/>
        <w:rFonts w:cs="Arial"/>
        <w:sz w:val="16"/>
        <w:szCs w:val="16"/>
      </w:rPr>
      <w:fldChar w:fldCharType="separate"/>
    </w:r>
    <w:r w:rsidR="00E35BC6">
      <w:rPr>
        <w:rStyle w:val="Seitenzahl"/>
        <w:rFonts w:cs="Arial"/>
        <w:noProof/>
        <w:sz w:val="16"/>
        <w:szCs w:val="16"/>
      </w:rPr>
      <w:t>8</w:t>
    </w:r>
    <w:r w:rsidR="00F104E5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A2" w:rsidRDefault="004770A2">
      <w:r>
        <w:separator/>
      </w:r>
    </w:p>
  </w:footnote>
  <w:footnote w:type="continuationSeparator" w:id="0">
    <w:p w:rsidR="004770A2" w:rsidRDefault="0047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2" w:space="0" w:color="08338F"/>
      </w:tblBorders>
      <w:tblLook w:val="00BF" w:firstRow="1" w:lastRow="0" w:firstColumn="1" w:lastColumn="0" w:noHBand="0" w:noVBand="0"/>
    </w:tblPr>
    <w:tblGrid>
      <w:gridCol w:w="1908"/>
      <w:gridCol w:w="7668"/>
    </w:tblGrid>
    <w:tr w:rsidR="00096109" w:rsidRPr="00DB078B" w:rsidTr="005B182B">
      <w:tc>
        <w:tcPr>
          <w:tcW w:w="1908" w:type="dxa"/>
          <w:vMerge w:val="restart"/>
        </w:tcPr>
        <w:p w:rsidR="00096109" w:rsidRPr="00DB078B" w:rsidRDefault="00096109" w:rsidP="005B182B">
          <w:pPr>
            <w:pStyle w:val="Kopfzeile"/>
            <w:jc w:val="center"/>
            <w:rPr>
              <w:rFonts w:cs="Arial"/>
              <w:b/>
            </w:rPr>
          </w:pPr>
          <w:bookmarkStart w:id="1" w:name="OLE_LINK1"/>
        </w:p>
      </w:tc>
      <w:tc>
        <w:tcPr>
          <w:tcW w:w="7668" w:type="dxa"/>
        </w:tcPr>
        <w:p w:rsidR="00E35BC6" w:rsidRDefault="00E35BC6" w:rsidP="005B182B">
          <w:pPr>
            <w:pStyle w:val="Kopfzeile"/>
            <w:jc w:val="center"/>
            <w:rPr>
              <w:rFonts w:cs="Arial"/>
              <w:sz w:val="24"/>
              <w:szCs w:val="24"/>
            </w:rPr>
          </w:pPr>
          <w:r w:rsidRPr="00E35BC6">
            <w:rPr>
              <w:rFonts w:cs="Arial"/>
              <w:sz w:val="24"/>
              <w:szCs w:val="24"/>
            </w:rPr>
            <w:t xml:space="preserve">Adient </w:t>
          </w:r>
        </w:p>
        <w:p w:rsidR="00096109" w:rsidRPr="00172B69" w:rsidRDefault="00096109" w:rsidP="005B182B">
          <w:pPr>
            <w:pStyle w:val="Kopfzeile"/>
            <w:jc w:val="center"/>
            <w:rPr>
              <w:rFonts w:cs="Arial"/>
              <w:sz w:val="24"/>
              <w:szCs w:val="24"/>
            </w:rPr>
          </w:pPr>
          <w:r w:rsidRPr="00172B69">
            <w:rPr>
              <w:rFonts w:cs="Arial"/>
              <w:sz w:val="24"/>
              <w:szCs w:val="24"/>
            </w:rPr>
            <w:t>Global Supplier Standards Manual</w:t>
          </w:r>
        </w:p>
        <w:p w:rsidR="00172B69" w:rsidRDefault="00172B69" w:rsidP="005B182B">
          <w:pPr>
            <w:pStyle w:val="Kopfzeile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Tooling and Equipment</w:t>
          </w:r>
        </w:p>
        <w:p w:rsidR="00EA1AD6" w:rsidRPr="00172B69" w:rsidRDefault="00EA1AD6" w:rsidP="00EA1AD6">
          <w:pPr>
            <w:pStyle w:val="Kopfzeile"/>
            <w:jc w:val="center"/>
            <w:rPr>
              <w:rFonts w:cs="Arial"/>
              <w:sz w:val="24"/>
              <w:szCs w:val="24"/>
            </w:rPr>
          </w:pPr>
          <w:r w:rsidRPr="00172B69">
            <w:rPr>
              <w:rFonts w:cs="Arial"/>
              <w:sz w:val="24"/>
              <w:szCs w:val="24"/>
            </w:rPr>
            <w:t>Chapter 2</w:t>
          </w:r>
        </w:p>
      </w:tc>
    </w:tr>
    <w:tr w:rsidR="00096109" w:rsidRPr="00DB078B" w:rsidTr="005B182B">
      <w:tc>
        <w:tcPr>
          <w:tcW w:w="1908" w:type="dxa"/>
          <w:vMerge/>
        </w:tcPr>
        <w:p w:rsidR="00096109" w:rsidRPr="00DB078B" w:rsidRDefault="00096109" w:rsidP="005B182B">
          <w:pPr>
            <w:pStyle w:val="Kopfzeile"/>
            <w:jc w:val="center"/>
            <w:rPr>
              <w:rFonts w:cs="Arial"/>
              <w:b/>
            </w:rPr>
          </w:pPr>
        </w:p>
      </w:tc>
      <w:tc>
        <w:tcPr>
          <w:tcW w:w="7668" w:type="dxa"/>
        </w:tcPr>
        <w:p w:rsidR="00096109" w:rsidRPr="00172B69" w:rsidRDefault="00096109" w:rsidP="00EA1AD6">
          <w:pPr>
            <w:pStyle w:val="Kopfzeile"/>
            <w:jc w:val="center"/>
            <w:rPr>
              <w:rFonts w:cs="Arial"/>
              <w:sz w:val="24"/>
              <w:szCs w:val="24"/>
            </w:rPr>
          </w:pPr>
          <w:r w:rsidRPr="00172B69">
            <w:rPr>
              <w:rFonts w:cs="Arial"/>
              <w:sz w:val="24"/>
              <w:szCs w:val="24"/>
            </w:rPr>
            <w:t>Metals Stamping Dies and Gages – Tooling Responsibilities</w:t>
          </w:r>
          <w:r w:rsidR="00450307">
            <w:rPr>
              <w:rFonts w:cs="Arial"/>
              <w:sz w:val="24"/>
              <w:szCs w:val="24"/>
            </w:rPr>
            <w:t xml:space="preserve"> and Guidelines</w:t>
          </w:r>
          <w:r w:rsidR="00EA1AD6">
            <w:rPr>
              <w:rFonts w:cs="Arial"/>
              <w:sz w:val="24"/>
              <w:szCs w:val="24"/>
            </w:rPr>
            <w:t xml:space="preserve"> </w:t>
          </w:r>
          <w:r w:rsidR="00172B69">
            <w:rPr>
              <w:rFonts w:cs="Arial"/>
              <w:sz w:val="24"/>
              <w:szCs w:val="24"/>
            </w:rPr>
            <w:t>Part Supplier Managed Tooling</w:t>
          </w:r>
        </w:p>
      </w:tc>
    </w:tr>
    <w:tr w:rsidR="00096109" w:rsidRPr="00DB078B" w:rsidTr="005B182B">
      <w:tc>
        <w:tcPr>
          <w:tcW w:w="1908" w:type="dxa"/>
          <w:vMerge/>
        </w:tcPr>
        <w:p w:rsidR="00096109" w:rsidRPr="00DB078B" w:rsidRDefault="00096109" w:rsidP="005B182B">
          <w:pPr>
            <w:pStyle w:val="Kopfzeile"/>
            <w:jc w:val="center"/>
            <w:rPr>
              <w:rFonts w:cs="Arial"/>
              <w:b/>
            </w:rPr>
          </w:pPr>
        </w:p>
      </w:tc>
      <w:tc>
        <w:tcPr>
          <w:tcW w:w="7668" w:type="dxa"/>
        </w:tcPr>
        <w:p w:rsidR="00096109" w:rsidRPr="00172B69" w:rsidRDefault="00096109" w:rsidP="005B182B">
          <w:pPr>
            <w:pStyle w:val="Kopfzeile"/>
            <w:jc w:val="center"/>
            <w:rPr>
              <w:rFonts w:cs="Arial"/>
              <w:i/>
              <w:sz w:val="24"/>
              <w:szCs w:val="24"/>
            </w:rPr>
          </w:pPr>
        </w:p>
      </w:tc>
    </w:tr>
    <w:tr w:rsidR="00096109" w:rsidRPr="00DB078B" w:rsidTr="005B182B">
      <w:tc>
        <w:tcPr>
          <w:tcW w:w="1908" w:type="dxa"/>
          <w:vMerge/>
        </w:tcPr>
        <w:p w:rsidR="00096109" w:rsidRPr="00DB078B" w:rsidRDefault="00096109" w:rsidP="005B182B">
          <w:pPr>
            <w:pStyle w:val="Kopfzeile"/>
            <w:jc w:val="center"/>
            <w:rPr>
              <w:rFonts w:cs="Arial"/>
              <w:b/>
            </w:rPr>
          </w:pPr>
        </w:p>
      </w:tc>
      <w:tc>
        <w:tcPr>
          <w:tcW w:w="7668" w:type="dxa"/>
        </w:tcPr>
        <w:p w:rsidR="00096109" w:rsidRPr="00551901" w:rsidRDefault="00096109" w:rsidP="00172B69">
          <w:pPr>
            <w:pStyle w:val="Kopfzeile"/>
            <w:jc w:val="center"/>
            <w:rPr>
              <w:rFonts w:cs="Arial"/>
              <w:sz w:val="24"/>
              <w:szCs w:val="24"/>
            </w:rPr>
          </w:pPr>
          <w:r w:rsidRPr="00551901">
            <w:rPr>
              <w:rFonts w:cs="Arial"/>
              <w:sz w:val="24"/>
              <w:szCs w:val="24"/>
            </w:rPr>
            <w:t xml:space="preserve">December 2012 </w:t>
          </w:r>
        </w:p>
      </w:tc>
    </w:tr>
    <w:tr w:rsidR="00096109" w:rsidRPr="00DB078B" w:rsidTr="005B182B">
      <w:tc>
        <w:tcPr>
          <w:tcW w:w="1908" w:type="dxa"/>
          <w:vMerge/>
        </w:tcPr>
        <w:p w:rsidR="00096109" w:rsidRPr="00DB078B" w:rsidRDefault="00096109" w:rsidP="005B182B">
          <w:pPr>
            <w:pStyle w:val="Kopfzeile"/>
            <w:jc w:val="center"/>
            <w:rPr>
              <w:rFonts w:cs="Arial"/>
              <w:b/>
            </w:rPr>
          </w:pPr>
        </w:p>
      </w:tc>
      <w:tc>
        <w:tcPr>
          <w:tcW w:w="7668" w:type="dxa"/>
        </w:tcPr>
        <w:p w:rsidR="00096109" w:rsidRPr="00DB078B" w:rsidRDefault="00096109" w:rsidP="005B182B">
          <w:pPr>
            <w:pStyle w:val="Kopfzeile"/>
            <w:jc w:val="center"/>
            <w:rPr>
              <w:rFonts w:cs="Arial"/>
              <w:b/>
              <w:sz w:val="12"/>
              <w:szCs w:val="12"/>
            </w:rPr>
          </w:pPr>
        </w:p>
      </w:tc>
    </w:tr>
    <w:bookmarkEnd w:id="1"/>
  </w:tbl>
  <w:p w:rsidR="00096109" w:rsidRPr="000F7FA7" w:rsidRDefault="00096109" w:rsidP="00096109">
    <w:pPr>
      <w:pStyle w:val="Kopfzeile"/>
    </w:pPr>
  </w:p>
  <w:p w:rsidR="002C55C0" w:rsidRDefault="002C55C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CF9"/>
    <w:multiLevelType w:val="hybridMultilevel"/>
    <w:tmpl w:val="AF8622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49FB"/>
    <w:multiLevelType w:val="hybridMultilevel"/>
    <w:tmpl w:val="EA5429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5D43"/>
    <w:multiLevelType w:val="hybridMultilevel"/>
    <w:tmpl w:val="8318D80C"/>
    <w:lvl w:ilvl="0" w:tplc="45564BC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45B9"/>
    <w:multiLevelType w:val="multilevel"/>
    <w:tmpl w:val="AEE64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B153BC"/>
    <w:multiLevelType w:val="multilevel"/>
    <w:tmpl w:val="AEE64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AB4059"/>
    <w:multiLevelType w:val="multilevel"/>
    <w:tmpl w:val="9482E0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701E12"/>
    <w:multiLevelType w:val="hybridMultilevel"/>
    <w:tmpl w:val="C164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75267"/>
    <w:multiLevelType w:val="hybridMultilevel"/>
    <w:tmpl w:val="F4BC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83FF6"/>
    <w:multiLevelType w:val="multilevel"/>
    <w:tmpl w:val="9482E0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9987257"/>
    <w:multiLevelType w:val="multilevel"/>
    <w:tmpl w:val="AEE64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92C19C5"/>
    <w:multiLevelType w:val="hybridMultilevel"/>
    <w:tmpl w:val="479EC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9166E"/>
    <w:multiLevelType w:val="multilevel"/>
    <w:tmpl w:val="AEE64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4E83DBA"/>
    <w:multiLevelType w:val="multilevel"/>
    <w:tmpl w:val="FA6E033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1611B3"/>
    <w:multiLevelType w:val="multilevel"/>
    <w:tmpl w:val="AEA4422E"/>
    <w:lvl w:ilvl="0">
      <w:start w:val="1"/>
      <w:numFmt w:val="decimal"/>
      <w:lvlText w:val="%1)"/>
      <w:lvlJc w:val="left"/>
      <w:pPr>
        <w:ind w:left="1815" w:hanging="375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2A1A09"/>
    <w:multiLevelType w:val="hybridMultilevel"/>
    <w:tmpl w:val="6AA8233A"/>
    <w:lvl w:ilvl="0" w:tplc="09B266D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73A49"/>
    <w:multiLevelType w:val="hybridMultilevel"/>
    <w:tmpl w:val="D1C05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2E02B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b/>
        <w:strike w:val="0"/>
        <w:color w:val="auto"/>
      </w:rPr>
    </w:lvl>
    <w:lvl w:ilvl="3" w:tplc="5CC2F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E2AEB"/>
    <w:multiLevelType w:val="multilevel"/>
    <w:tmpl w:val="AEA4422E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B7655"/>
    <w:multiLevelType w:val="hybridMultilevel"/>
    <w:tmpl w:val="CEFC5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025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1505C6"/>
    <w:multiLevelType w:val="multilevel"/>
    <w:tmpl w:val="AEE646F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)"/>
      <w:legacy w:legacy="1" w:legacySpace="120" w:legacyIndent="360"/>
      <w:lvlJc w:val="left"/>
      <w:pPr>
        <w:ind w:left="1080" w:hanging="360"/>
      </w:pPr>
    </w:lvl>
    <w:lvl w:ilvl="3">
      <w:start w:val="1"/>
      <w:numFmt w:val="none"/>
      <w:lvlText w:val="()"/>
      <w:legacy w:legacy="1" w:legacySpace="120" w:legacyIndent="360"/>
      <w:lvlJc w:val="left"/>
      <w:pPr>
        <w:ind w:left="1440" w:hanging="360"/>
      </w:pPr>
    </w:lvl>
    <w:lvl w:ilvl="4">
      <w:start w:val="1"/>
      <w:numFmt w:val="none"/>
      <w:lvlText w:val="()"/>
      <w:legacy w:legacy="1" w:legacySpace="120" w:legacyIndent="360"/>
      <w:lvlJc w:val="left"/>
      <w:pPr>
        <w:ind w:left="1800" w:hanging="360"/>
      </w:pPr>
    </w:lvl>
    <w:lvl w:ilvl="5">
      <w:start w:val="1"/>
      <w:numFmt w:val="none"/>
      <w:lvlText w:val="()"/>
      <w:legacy w:legacy="1" w:legacySpace="120" w:legacyIndent="360"/>
      <w:lvlJc w:val="left"/>
      <w:pPr>
        <w:ind w:left="2160" w:hanging="360"/>
      </w:pPr>
    </w:lvl>
    <w:lvl w:ilvl="6">
      <w:start w:val="1"/>
      <w:numFmt w:val="none"/>
      <w:lvlText w:val="."/>
      <w:legacy w:legacy="1" w:legacySpace="120" w:legacyIndent="360"/>
      <w:lvlJc w:val="left"/>
      <w:pPr>
        <w:ind w:left="2520" w:hanging="360"/>
      </w:pPr>
    </w:lvl>
    <w:lvl w:ilvl="7">
      <w:start w:val="1"/>
      <w:numFmt w:val="none"/>
      <w:lvlText w:val="."/>
      <w:legacy w:legacy="1" w:legacySpace="120" w:legacyIndent="360"/>
      <w:lvlJc w:val="left"/>
      <w:pPr>
        <w:ind w:left="2880" w:hanging="360"/>
      </w:pPr>
    </w:lvl>
    <w:lvl w:ilvl="8">
      <w:start w:val="1"/>
      <w:numFmt w:val="none"/>
      <w:lvlText w:val="."/>
      <w:legacy w:legacy="1" w:legacySpace="120" w:legacyIndent="360"/>
      <w:lvlJc w:val="left"/>
      <w:pPr>
        <w:ind w:left="3240" w:hanging="360"/>
      </w:pPr>
      <w:rPr>
        <w:rFonts w:ascii="Arial" w:hAnsi="Arial" w:hint="default"/>
        <w:sz w:val="22"/>
      </w:rPr>
    </w:lvl>
  </w:abstractNum>
  <w:abstractNum w:abstractNumId="20" w15:restartNumberingAfterBreak="0">
    <w:nsid w:val="66534BB7"/>
    <w:multiLevelType w:val="multilevel"/>
    <w:tmpl w:val="9482E01A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21" w15:restartNumberingAfterBreak="0">
    <w:nsid w:val="6A3E087F"/>
    <w:multiLevelType w:val="hybridMultilevel"/>
    <w:tmpl w:val="7A767F42"/>
    <w:lvl w:ilvl="0" w:tplc="FEB2A5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2E02B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b/>
        <w:strike w:val="0"/>
        <w:color w:val="auto"/>
      </w:rPr>
    </w:lvl>
    <w:lvl w:ilvl="3" w:tplc="5CC2F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957EF"/>
    <w:multiLevelType w:val="multilevel"/>
    <w:tmpl w:val="6AA8233A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B5DA6"/>
    <w:multiLevelType w:val="hybridMultilevel"/>
    <w:tmpl w:val="DA1AC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A02AB"/>
    <w:multiLevelType w:val="multilevel"/>
    <w:tmpl w:val="AEE64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9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b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">
    <w:abstractNumId w:val="12"/>
  </w:num>
  <w:num w:numId="5">
    <w:abstractNumId w:val="15"/>
  </w:num>
  <w:num w:numId="6">
    <w:abstractNumId w:val="17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)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4"/>
  </w:num>
  <w:num w:numId="10">
    <w:abstractNumId w:val="9"/>
  </w:num>
  <w:num w:numId="11">
    <w:abstractNumId w:val="24"/>
  </w:num>
  <w:num w:numId="12">
    <w:abstractNumId w:val="7"/>
  </w:num>
  <w:num w:numId="13">
    <w:abstractNumId w:val="18"/>
  </w:num>
  <w:num w:numId="14">
    <w:abstractNumId w:val="3"/>
  </w:num>
  <w:num w:numId="15">
    <w:abstractNumId w:val="8"/>
  </w:num>
  <w:num w:numId="16">
    <w:abstractNumId w:val="5"/>
  </w:num>
  <w:num w:numId="17">
    <w:abstractNumId w:val="14"/>
  </w:num>
  <w:num w:numId="18">
    <w:abstractNumId w:val="22"/>
  </w:num>
  <w:num w:numId="19">
    <w:abstractNumId w:val="16"/>
  </w:num>
  <w:num w:numId="20">
    <w:abstractNumId w:val="2"/>
  </w:num>
  <w:num w:numId="21">
    <w:abstractNumId w:val="13"/>
  </w:num>
  <w:num w:numId="22">
    <w:abstractNumId w:val="10"/>
  </w:num>
  <w:num w:numId="23">
    <w:abstractNumId w:val="6"/>
  </w:num>
  <w:num w:numId="24">
    <w:abstractNumId w:val="23"/>
  </w:num>
  <w:num w:numId="25">
    <w:abstractNumId w:val="0"/>
  </w:num>
  <w:num w:numId="2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7D6"/>
    <w:rsid w:val="00000C20"/>
    <w:rsid w:val="00021120"/>
    <w:rsid w:val="000272A0"/>
    <w:rsid w:val="0002778D"/>
    <w:rsid w:val="00040182"/>
    <w:rsid w:val="00042F19"/>
    <w:rsid w:val="00045BBA"/>
    <w:rsid w:val="0006373C"/>
    <w:rsid w:val="00071589"/>
    <w:rsid w:val="0007562D"/>
    <w:rsid w:val="000870B2"/>
    <w:rsid w:val="0008742D"/>
    <w:rsid w:val="00096109"/>
    <w:rsid w:val="000961AC"/>
    <w:rsid w:val="000F3041"/>
    <w:rsid w:val="001472D3"/>
    <w:rsid w:val="00163673"/>
    <w:rsid w:val="00172B69"/>
    <w:rsid w:val="001859C3"/>
    <w:rsid w:val="00195A80"/>
    <w:rsid w:val="001A55BF"/>
    <w:rsid w:val="001B75AB"/>
    <w:rsid w:val="001C0D5E"/>
    <w:rsid w:val="001D6CC9"/>
    <w:rsid w:val="001E0CEB"/>
    <w:rsid w:val="001F6097"/>
    <w:rsid w:val="001F6817"/>
    <w:rsid w:val="00210902"/>
    <w:rsid w:val="00224472"/>
    <w:rsid w:val="0027042E"/>
    <w:rsid w:val="002846AB"/>
    <w:rsid w:val="00294DA8"/>
    <w:rsid w:val="002A4BCA"/>
    <w:rsid w:val="002B410C"/>
    <w:rsid w:val="002C12F4"/>
    <w:rsid w:val="002C55C0"/>
    <w:rsid w:val="002F4785"/>
    <w:rsid w:val="002F7067"/>
    <w:rsid w:val="00354C2C"/>
    <w:rsid w:val="00361AE7"/>
    <w:rsid w:val="00377494"/>
    <w:rsid w:val="00380EAF"/>
    <w:rsid w:val="00385521"/>
    <w:rsid w:val="003C3A70"/>
    <w:rsid w:val="003F075F"/>
    <w:rsid w:val="003F1532"/>
    <w:rsid w:val="003F24B6"/>
    <w:rsid w:val="004009B0"/>
    <w:rsid w:val="004117D6"/>
    <w:rsid w:val="00437C88"/>
    <w:rsid w:val="00446BEE"/>
    <w:rsid w:val="00450307"/>
    <w:rsid w:val="00460F43"/>
    <w:rsid w:val="00461B6B"/>
    <w:rsid w:val="004671E3"/>
    <w:rsid w:val="004770A2"/>
    <w:rsid w:val="004C678C"/>
    <w:rsid w:val="004F3DC4"/>
    <w:rsid w:val="00526876"/>
    <w:rsid w:val="00530F98"/>
    <w:rsid w:val="00535A7A"/>
    <w:rsid w:val="00542306"/>
    <w:rsid w:val="00551901"/>
    <w:rsid w:val="005539AB"/>
    <w:rsid w:val="005947CC"/>
    <w:rsid w:val="005A08A1"/>
    <w:rsid w:val="005B4291"/>
    <w:rsid w:val="005B4B74"/>
    <w:rsid w:val="005B609E"/>
    <w:rsid w:val="005E7079"/>
    <w:rsid w:val="00644E64"/>
    <w:rsid w:val="00657AD9"/>
    <w:rsid w:val="006A6566"/>
    <w:rsid w:val="006A6F13"/>
    <w:rsid w:val="006D669B"/>
    <w:rsid w:val="006F2A09"/>
    <w:rsid w:val="00706030"/>
    <w:rsid w:val="007158B1"/>
    <w:rsid w:val="00741B14"/>
    <w:rsid w:val="0074403A"/>
    <w:rsid w:val="0075054A"/>
    <w:rsid w:val="007756DE"/>
    <w:rsid w:val="00784189"/>
    <w:rsid w:val="0078535C"/>
    <w:rsid w:val="00785917"/>
    <w:rsid w:val="007A0319"/>
    <w:rsid w:val="007A07BD"/>
    <w:rsid w:val="007B632B"/>
    <w:rsid w:val="007B77C8"/>
    <w:rsid w:val="007D3B22"/>
    <w:rsid w:val="007D7573"/>
    <w:rsid w:val="007F5B76"/>
    <w:rsid w:val="00803BC0"/>
    <w:rsid w:val="00813522"/>
    <w:rsid w:val="0082362F"/>
    <w:rsid w:val="0082411C"/>
    <w:rsid w:val="00827FAE"/>
    <w:rsid w:val="00865F4B"/>
    <w:rsid w:val="008E38FF"/>
    <w:rsid w:val="008F2688"/>
    <w:rsid w:val="009041B1"/>
    <w:rsid w:val="00916AE9"/>
    <w:rsid w:val="00916F40"/>
    <w:rsid w:val="00941602"/>
    <w:rsid w:val="0094672F"/>
    <w:rsid w:val="00975585"/>
    <w:rsid w:val="009756C0"/>
    <w:rsid w:val="00984CED"/>
    <w:rsid w:val="00987ED6"/>
    <w:rsid w:val="009960BE"/>
    <w:rsid w:val="009A6438"/>
    <w:rsid w:val="009A7448"/>
    <w:rsid w:val="009B70FB"/>
    <w:rsid w:val="00A010F8"/>
    <w:rsid w:val="00A4290E"/>
    <w:rsid w:val="00A452CB"/>
    <w:rsid w:val="00A8088B"/>
    <w:rsid w:val="00A84D6E"/>
    <w:rsid w:val="00AC7E7F"/>
    <w:rsid w:val="00AD230B"/>
    <w:rsid w:val="00AF49DF"/>
    <w:rsid w:val="00B127D5"/>
    <w:rsid w:val="00B50A78"/>
    <w:rsid w:val="00B669AF"/>
    <w:rsid w:val="00B970AF"/>
    <w:rsid w:val="00BA018D"/>
    <w:rsid w:val="00BB3D94"/>
    <w:rsid w:val="00BC1329"/>
    <w:rsid w:val="00BC3E3A"/>
    <w:rsid w:val="00BC589C"/>
    <w:rsid w:val="00BD4DE1"/>
    <w:rsid w:val="00BE079C"/>
    <w:rsid w:val="00BF688C"/>
    <w:rsid w:val="00BF7E35"/>
    <w:rsid w:val="00C02411"/>
    <w:rsid w:val="00C04058"/>
    <w:rsid w:val="00C27EE1"/>
    <w:rsid w:val="00C30764"/>
    <w:rsid w:val="00C3602A"/>
    <w:rsid w:val="00C47D83"/>
    <w:rsid w:val="00C606C4"/>
    <w:rsid w:val="00C7468F"/>
    <w:rsid w:val="00C82F6A"/>
    <w:rsid w:val="00C87CC0"/>
    <w:rsid w:val="00CA1DA1"/>
    <w:rsid w:val="00CA4380"/>
    <w:rsid w:val="00CB449A"/>
    <w:rsid w:val="00CF54DF"/>
    <w:rsid w:val="00D04E31"/>
    <w:rsid w:val="00D10E76"/>
    <w:rsid w:val="00D31D88"/>
    <w:rsid w:val="00D670E4"/>
    <w:rsid w:val="00D774BC"/>
    <w:rsid w:val="00D82DE8"/>
    <w:rsid w:val="00D83162"/>
    <w:rsid w:val="00D96FAA"/>
    <w:rsid w:val="00DA2D62"/>
    <w:rsid w:val="00DB5EED"/>
    <w:rsid w:val="00DC3337"/>
    <w:rsid w:val="00DE146A"/>
    <w:rsid w:val="00DF71DF"/>
    <w:rsid w:val="00E175DB"/>
    <w:rsid w:val="00E35BC6"/>
    <w:rsid w:val="00E41192"/>
    <w:rsid w:val="00E4758D"/>
    <w:rsid w:val="00E64453"/>
    <w:rsid w:val="00E66E6F"/>
    <w:rsid w:val="00E91573"/>
    <w:rsid w:val="00E91D24"/>
    <w:rsid w:val="00EA1AD6"/>
    <w:rsid w:val="00EB75E7"/>
    <w:rsid w:val="00ED0E47"/>
    <w:rsid w:val="00ED4153"/>
    <w:rsid w:val="00EE4AE9"/>
    <w:rsid w:val="00EE69EC"/>
    <w:rsid w:val="00EF1437"/>
    <w:rsid w:val="00F104E5"/>
    <w:rsid w:val="00F261DF"/>
    <w:rsid w:val="00F40D61"/>
    <w:rsid w:val="00F75CB2"/>
    <w:rsid w:val="00F91EDA"/>
    <w:rsid w:val="00FD0880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;"/>
  <w15:docId w15:val="{2B370C7B-9665-41E7-A7BF-545625E2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290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4290E"/>
    <w:pPr>
      <w:keepNext/>
      <w:jc w:val="both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A4290E"/>
    <w:pPr>
      <w:keepNext/>
      <w:spacing w:after="240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rsid w:val="00A4290E"/>
    <w:pPr>
      <w:keepNext/>
      <w:spacing w:after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4290E"/>
    <w:pPr>
      <w:keepNext/>
      <w:spacing w:line="360" w:lineRule="auto"/>
      <w:jc w:val="center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rsid w:val="00A4290E"/>
    <w:pPr>
      <w:keepNext/>
      <w:spacing w:line="360" w:lineRule="auto"/>
      <w:jc w:val="center"/>
      <w:outlineLvl w:val="4"/>
    </w:pPr>
    <w:rPr>
      <w:b/>
      <w:sz w:val="40"/>
    </w:rPr>
  </w:style>
  <w:style w:type="paragraph" w:styleId="berschrift6">
    <w:name w:val="heading 6"/>
    <w:basedOn w:val="Standard"/>
    <w:next w:val="Standard"/>
    <w:qFormat/>
    <w:rsid w:val="00A4290E"/>
    <w:pPr>
      <w:keepNext/>
      <w:outlineLvl w:val="5"/>
    </w:pPr>
    <w:rPr>
      <w:b/>
      <w:u w:val="single"/>
    </w:rPr>
  </w:style>
  <w:style w:type="paragraph" w:styleId="berschrift7">
    <w:name w:val="heading 7"/>
    <w:basedOn w:val="Standard"/>
    <w:next w:val="Standard"/>
    <w:qFormat/>
    <w:rsid w:val="00A4290E"/>
    <w:pPr>
      <w:keepNext/>
      <w:spacing w:line="360" w:lineRule="auto"/>
      <w:jc w:val="center"/>
      <w:outlineLvl w:val="6"/>
    </w:pPr>
    <w:rPr>
      <w:b/>
      <w:i/>
      <w:sz w:val="96"/>
    </w:rPr>
  </w:style>
  <w:style w:type="paragraph" w:styleId="berschrift8">
    <w:name w:val="heading 8"/>
    <w:basedOn w:val="Standard"/>
    <w:next w:val="Standard"/>
    <w:qFormat/>
    <w:rsid w:val="00A4290E"/>
    <w:pPr>
      <w:keepNext/>
      <w:spacing w:after="120"/>
      <w:jc w:val="center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A4290E"/>
    <w:pPr>
      <w:keepNext/>
      <w:spacing w:line="360" w:lineRule="auto"/>
      <w:jc w:val="center"/>
      <w:outlineLvl w:val="8"/>
    </w:pPr>
    <w:rPr>
      <w:b/>
      <w:color w:val="FF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290E"/>
    <w:pPr>
      <w:tabs>
        <w:tab w:val="center" w:pos="4320"/>
        <w:tab w:val="right" w:pos="8640"/>
      </w:tabs>
    </w:pPr>
  </w:style>
  <w:style w:type="character" w:styleId="Hyperlink">
    <w:name w:val="Hyperlink"/>
    <w:basedOn w:val="Absatz-Standardschriftart"/>
    <w:rsid w:val="00A4290E"/>
    <w:rPr>
      <w:color w:val="0000FF"/>
      <w:u w:val="single"/>
    </w:rPr>
  </w:style>
  <w:style w:type="paragraph" w:styleId="Textkrper">
    <w:name w:val="Body Text"/>
    <w:basedOn w:val="Standard"/>
    <w:rsid w:val="00A4290E"/>
    <w:pPr>
      <w:jc w:val="both"/>
    </w:pPr>
    <w:rPr>
      <w:sz w:val="20"/>
    </w:rPr>
  </w:style>
  <w:style w:type="paragraph" w:styleId="Fuzeile">
    <w:name w:val="footer"/>
    <w:basedOn w:val="Standard"/>
    <w:rsid w:val="00A4290E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4290E"/>
  </w:style>
  <w:style w:type="paragraph" w:styleId="Textkrper2">
    <w:name w:val="Body Text 2"/>
    <w:basedOn w:val="Standard"/>
    <w:rsid w:val="00A4290E"/>
    <w:pPr>
      <w:spacing w:after="240"/>
      <w:ind w:left="360"/>
    </w:pPr>
  </w:style>
  <w:style w:type="paragraph" w:styleId="Textkrper3">
    <w:name w:val="Body Text 3"/>
    <w:basedOn w:val="Standard"/>
    <w:rsid w:val="00A4290E"/>
    <w:pPr>
      <w:jc w:val="both"/>
    </w:pPr>
  </w:style>
  <w:style w:type="paragraph" w:styleId="Dokumentstruktur">
    <w:name w:val="Document Map"/>
    <w:basedOn w:val="Standard"/>
    <w:semiHidden/>
    <w:rsid w:val="00A4290E"/>
    <w:pPr>
      <w:shd w:val="clear" w:color="auto" w:fill="000080"/>
    </w:pPr>
    <w:rPr>
      <w:rFonts w:ascii="Tahoma" w:hAnsi="Tahoma"/>
    </w:rPr>
  </w:style>
  <w:style w:type="paragraph" w:customStyle="1" w:styleId="Indent1">
    <w:name w:val="Indent 1"/>
    <w:basedOn w:val="Standard"/>
    <w:rsid w:val="00A4290E"/>
    <w:pPr>
      <w:spacing w:before="240"/>
      <w:ind w:left="576"/>
    </w:pPr>
    <w:rPr>
      <w:sz w:val="20"/>
    </w:rPr>
  </w:style>
  <w:style w:type="paragraph" w:styleId="Aufzhlungszeichen">
    <w:name w:val="List Bullet"/>
    <w:basedOn w:val="Standard"/>
    <w:autoRedefine/>
    <w:rsid w:val="00A4290E"/>
    <w:pPr>
      <w:ind w:left="540" w:hanging="540"/>
      <w:jc w:val="center"/>
    </w:pPr>
  </w:style>
  <w:style w:type="paragraph" w:styleId="Textkrper-Zeileneinzug">
    <w:name w:val="Body Text Indent"/>
    <w:basedOn w:val="Standard"/>
    <w:rsid w:val="00A4290E"/>
    <w:pPr>
      <w:spacing w:after="240"/>
      <w:ind w:left="540"/>
    </w:pPr>
  </w:style>
  <w:style w:type="paragraph" w:styleId="Textkrper-Einzug3">
    <w:name w:val="Body Text Indent 3"/>
    <w:basedOn w:val="Standard"/>
    <w:rsid w:val="00A4290E"/>
    <w:pPr>
      <w:spacing w:after="240"/>
      <w:ind w:left="540"/>
    </w:pPr>
    <w:rPr>
      <w:color w:val="000080"/>
    </w:rPr>
  </w:style>
  <w:style w:type="character" w:styleId="BesuchterHyperlink">
    <w:name w:val="FollowedHyperlink"/>
    <w:basedOn w:val="Absatz-Standardschriftart"/>
    <w:rsid w:val="00A4290E"/>
    <w:rPr>
      <w:color w:val="800080"/>
      <w:u w:val="single"/>
    </w:rPr>
  </w:style>
  <w:style w:type="paragraph" w:customStyle="1" w:styleId="font5">
    <w:name w:val="font5"/>
    <w:basedOn w:val="Standard"/>
    <w:rsid w:val="00A4290E"/>
    <w:pP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24">
    <w:name w:val="xl24"/>
    <w:basedOn w:val="Standard"/>
    <w:rsid w:val="00A4290E"/>
    <w:pPr>
      <w:spacing w:before="100" w:beforeAutospacing="1" w:after="100" w:afterAutospacing="1"/>
      <w:jc w:val="center"/>
    </w:pPr>
    <w:rPr>
      <w:rFonts w:eastAsia="Arial Unicode MS" w:cs="Arial"/>
      <w:sz w:val="12"/>
      <w:szCs w:val="12"/>
    </w:rPr>
  </w:style>
  <w:style w:type="paragraph" w:customStyle="1" w:styleId="xl25">
    <w:name w:val="xl25"/>
    <w:basedOn w:val="Standard"/>
    <w:rsid w:val="00A4290E"/>
    <w:pP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26">
    <w:name w:val="xl26"/>
    <w:basedOn w:val="Standard"/>
    <w:rsid w:val="00A4290E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27">
    <w:name w:val="xl27"/>
    <w:basedOn w:val="Standard"/>
    <w:rsid w:val="00A4290E"/>
    <w:pPr>
      <w:spacing w:before="100" w:beforeAutospacing="1" w:after="100" w:afterAutospacing="1"/>
      <w:jc w:val="center"/>
    </w:pPr>
    <w:rPr>
      <w:rFonts w:eastAsia="Arial Unicode MS" w:cs="Arial"/>
      <w:sz w:val="12"/>
      <w:szCs w:val="12"/>
    </w:rPr>
  </w:style>
  <w:style w:type="paragraph" w:customStyle="1" w:styleId="xl28">
    <w:name w:val="xl28"/>
    <w:basedOn w:val="Standard"/>
    <w:rsid w:val="00A4290E"/>
    <w:pPr>
      <w:spacing w:before="100" w:beforeAutospacing="1" w:after="100" w:afterAutospacing="1"/>
    </w:pPr>
    <w:rPr>
      <w:rFonts w:eastAsia="Arial Unicode MS" w:cs="Arial"/>
      <w:b/>
      <w:bCs/>
      <w:sz w:val="12"/>
      <w:szCs w:val="12"/>
    </w:rPr>
  </w:style>
  <w:style w:type="paragraph" w:customStyle="1" w:styleId="xl29">
    <w:name w:val="xl29"/>
    <w:basedOn w:val="Standard"/>
    <w:rsid w:val="00A4290E"/>
    <w:pPr>
      <w:spacing w:before="100" w:beforeAutospacing="1" w:after="100" w:afterAutospacing="1"/>
      <w:jc w:val="center"/>
    </w:pPr>
    <w:rPr>
      <w:rFonts w:eastAsia="Arial Unicode MS" w:cs="Arial"/>
      <w:b/>
      <w:bCs/>
      <w:sz w:val="12"/>
      <w:szCs w:val="12"/>
    </w:rPr>
  </w:style>
  <w:style w:type="paragraph" w:customStyle="1" w:styleId="xl30">
    <w:name w:val="xl30"/>
    <w:basedOn w:val="Standard"/>
    <w:rsid w:val="00A4290E"/>
    <w:pP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31">
    <w:name w:val="xl31"/>
    <w:basedOn w:val="Standard"/>
    <w:rsid w:val="00A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2"/>
      <w:szCs w:val="12"/>
    </w:rPr>
  </w:style>
  <w:style w:type="paragraph" w:customStyle="1" w:styleId="xl32">
    <w:name w:val="xl32"/>
    <w:basedOn w:val="Standard"/>
    <w:rsid w:val="00A4290E"/>
    <w:pPr>
      <w:spacing w:before="100" w:beforeAutospacing="1" w:after="100" w:afterAutospacing="1"/>
    </w:pPr>
    <w:rPr>
      <w:rFonts w:eastAsia="Arial Unicode MS" w:cs="Arial"/>
      <w:sz w:val="14"/>
      <w:szCs w:val="14"/>
    </w:rPr>
  </w:style>
  <w:style w:type="paragraph" w:customStyle="1" w:styleId="xl33">
    <w:name w:val="xl33"/>
    <w:basedOn w:val="Standard"/>
    <w:rsid w:val="00A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 w:cs="Arial"/>
      <w:sz w:val="12"/>
      <w:szCs w:val="12"/>
    </w:rPr>
  </w:style>
  <w:style w:type="paragraph" w:customStyle="1" w:styleId="xl34">
    <w:name w:val="xl34"/>
    <w:basedOn w:val="Standard"/>
    <w:rsid w:val="00A4290E"/>
    <w:pPr>
      <w:spacing w:before="100" w:beforeAutospacing="1" w:after="100" w:afterAutospacing="1"/>
      <w:jc w:val="center"/>
    </w:pPr>
    <w:rPr>
      <w:rFonts w:eastAsia="Arial Unicode MS" w:cs="Arial"/>
      <w:b/>
      <w:bCs/>
      <w:sz w:val="14"/>
      <w:szCs w:val="14"/>
    </w:rPr>
  </w:style>
  <w:style w:type="paragraph" w:customStyle="1" w:styleId="xl35">
    <w:name w:val="xl35"/>
    <w:basedOn w:val="Standard"/>
    <w:rsid w:val="00A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2"/>
      <w:szCs w:val="12"/>
    </w:rPr>
  </w:style>
  <w:style w:type="paragraph" w:customStyle="1" w:styleId="xl36">
    <w:name w:val="xl36"/>
    <w:basedOn w:val="Standard"/>
    <w:rsid w:val="00A4290E"/>
    <w:pPr>
      <w:spacing w:before="100" w:beforeAutospacing="1" w:after="100" w:afterAutospacing="1"/>
      <w:jc w:val="center"/>
    </w:pPr>
    <w:rPr>
      <w:rFonts w:eastAsia="Arial Unicode MS" w:cs="Arial"/>
      <w:b/>
      <w:bCs/>
      <w:sz w:val="12"/>
      <w:szCs w:val="12"/>
      <w:u w:val="single"/>
    </w:rPr>
  </w:style>
  <w:style w:type="paragraph" w:customStyle="1" w:styleId="xl37">
    <w:name w:val="xl37"/>
    <w:basedOn w:val="Standard"/>
    <w:rsid w:val="00A4290E"/>
    <w:pPr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  <w:sz w:val="24"/>
      <w:szCs w:val="24"/>
      <w:u w:val="single"/>
    </w:rPr>
  </w:style>
  <w:style w:type="paragraph" w:customStyle="1" w:styleId="xl38">
    <w:name w:val="xl38"/>
    <w:basedOn w:val="Standard"/>
    <w:rsid w:val="00A4290E"/>
    <w:pPr>
      <w:spacing w:before="100" w:beforeAutospacing="1" w:after="100" w:afterAutospacing="1"/>
      <w:jc w:val="right"/>
    </w:pPr>
    <w:rPr>
      <w:rFonts w:eastAsia="Arial Unicode MS" w:cs="Arial"/>
      <w:b/>
      <w:bCs/>
      <w:sz w:val="12"/>
      <w:szCs w:val="12"/>
    </w:rPr>
  </w:style>
  <w:style w:type="paragraph" w:customStyle="1" w:styleId="xl39">
    <w:name w:val="xl39"/>
    <w:basedOn w:val="Standard"/>
    <w:rsid w:val="00A42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40">
    <w:name w:val="xl40"/>
    <w:basedOn w:val="Standard"/>
    <w:rsid w:val="00A42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41">
    <w:name w:val="xl41"/>
    <w:basedOn w:val="Standard"/>
    <w:rsid w:val="00A42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42">
    <w:name w:val="xl42"/>
    <w:basedOn w:val="Standard"/>
    <w:rsid w:val="00A42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43">
    <w:name w:val="xl43"/>
    <w:basedOn w:val="Standard"/>
    <w:rsid w:val="00A42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44">
    <w:name w:val="xl44"/>
    <w:basedOn w:val="Standard"/>
    <w:rsid w:val="00A42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2"/>
      <w:szCs w:val="12"/>
    </w:rPr>
  </w:style>
  <w:style w:type="paragraph" w:customStyle="1" w:styleId="xl45">
    <w:name w:val="xl45"/>
    <w:basedOn w:val="Standard"/>
    <w:rsid w:val="00A42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2"/>
      <w:szCs w:val="12"/>
    </w:rPr>
  </w:style>
  <w:style w:type="paragraph" w:customStyle="1" w:styleId="xl46">
    <w:name w:val="xl46"/>
    <w:basedOn w:val="Standard"/>
    <w:rsid w:val="00A42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2"/>
      <w:szCs w:val="12"/>
    </w:rPr>
  </w:style>
  <w:style w:type="paragraph" w:customStyle="1" w:styleId="xl47">
    <w:name w:val="xl47"/>
    <w:basedOn w:val="Standard"/>
    <w:rsid w:val="00A42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2"/>
      <w:szCs w:val="12"/>
    </w:rPr>
  </w:style>
  <w:style w:type="paragraph" w:styleId="Sprechblasentext">
    <w:name w:val="Balloon Text"/>
    <w:basedOn w:val="Standard"/>
    <w:semiHidden/>
    <w:rsid w:val="00A4290E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rsid w:val="00A4290E"/>
    <w:pPr>
      <w:spacing w:after="240"/>
      <w:ind w:left="720"/>
      <w:jc w:val="both"/>
    </w:pPr>
    <w:rPr>
      <w:color w:val="FF0000"/>
    </w:rPr>
  </w:style>
  <w:style w:type="character" w:styleId="Fett">
    <w:name w:val="Strong"/>
    <w:basedOn w:val="Absatz-Standardschriftart"/>
    <w:qFormat/>
    <w:rsid w:val="00CB449A"/>
    <w:rPr>
      <w:b/>
      <w:bCs/>
    </w:rPr>
  </w:style>
  <w:style w:type="paragraph" w:styleId="Listenabsatz">
    <w:name w:val="List Paragraph"/>
    <w:basedOn w:val="Standard"/>
    <w:uiPriority w:val="34"/>
    <w:qFormat/>
    <w:rsid w:val="00EE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Statement of Work</vt:lpstr>
    </vt:vector>
  </TitlesOfParts>
  <Company>Johnson Controls, Inc.</Company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Statement of Work</dc:title>
  <dc:creator>Mike Land</dc:creator>
  <cp:lastModifiedBy>Sandra</cp:lastModifiedBy>
  <cp:revision>3</cp:revision>
  <cp:lastPrinted>2012-01-31T18:17:00Z</cp:lastPrinted>
  <dcterms:created xsi:type="dcterms:W3CDTF">2014-08-12T11:42:00Z</dcterms:created>
  <dcterms:modified xsi:type="dcterms:W3CDTF">2016-10-07T11:53:00Z</dcterms:modified>
</cp:coreProperties>
</file>