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48" w:rsidRDefault="00911048">
      <w:pPr>
        <w:pStyle w:val="Textkrper"/>
        <w:spacing w:before="3"/>
        <w:rPr>
          <w:rFonts w:ascii="Times New Roman"/>
          <w:sz w:val="15"/>
        </w:rPr>
      </w:pPr>
    </w:p>
    <w:p w:rsidR="00911048" w:rsidRDefault="00E80324">
      <w:pPr>
        <w:pStyle w:val="berschrift1"/>
        <w:spacing w:before="70"/>
      </w:pPr>
      <w:r>
        <w:t>PURPOSE</w:t>
      </w:r>
    </w:p>
    <w:p w:rsidR="00911048" w:rsidRDefault="00E80324">
      <w:pPr>
        <w:pStyle w:val="Listenabsatz"/>
        <w:numPr>
          <w:ilvl w:val="0"/>
          <w:numId w:val="2"/>
        </w:numPr>
        <w:tabs>
          <w:tab w:val="left" w:pos="2141"/>
        </w:tabs>
        <w:ind w:right="1370"/>
        <w:rPr>
          <w:sz w:val="24"/>
        </w:rPr>
      </w:pPr>
      <w:r>
        <w:rPr>
          <w:sz w:val="24"/>
        </w:rPr>
        <w:t>The purpose of the Global Supplier Standards Manual is to communicate</w:t>
      </w:r>
      <w:r>
        <w:rPr>
          <w:spacing w:val="-29"/>
          <w:sz w:val="24"/>
        </w:rPr>
        <w:t xml:space="preserve"> </w:t>
      </w:r>
      <w:r>
        <w:rPr>
          <w:sz w:val="24"/>
        </w:rPr>
        <w:t>Adient</w:t>
      </w:r>
      <w:r>
        <w:rPr>
          <w:sz w:val="24"/>
        </w:rPr>
        <w:t xml:space="preserve"> metal prototype weld fixture design requirements to the suppliers in our Automotive Experience Division that provide prototype parts. It is the expectation of Adient</w:t>
      </w:r>
      <w:r>
        <w:rPr>
          <w:sz w:val="24"/>
        </w:rPr>
        <w:t xml:space="preserve"> that all suppliers comply with all of the requirement</w:t>
      </w:r>
      <w:r>
        <w:rPr>
          <w:sz w:val="24"/>
        </w:rPr>
        <w:t>s and expectations documented in this</w:t>
      </w:r>
      <w:r>
        <w:rPr>
          <w:spacing w:val="-25"/>
          <w:sz w:val="24"/>
        </w:rPr>
        <w:t xml:space="preserve"> </w:t>
      </w:r>
      <w:r>
        <w:rPr>
          <w:sz w:val="24"/>
        </w:rPr>
        <w:t>manual.</w:t>
      </w:r>
    </w:p>
    <w:p w:rsidR="00911048" w:rsidRDefault="00911048">
      <w:pPr>
        <w:pStyle w:val="Textkrper"/>
      </w:pPr>
    </w:p>
    <w:p w:rsidR="00911048" w:rsidRDefault="00E80324">
      <w:pPr>
        <w:pStyle w:val="berschrift1"/>
        <w:ind w:left="1780"/>
      </w:pPr>
      <w:r>
        <w:t>SCOPE</w:t>
      </w:r>
    </w:p>
    <w:p w:rsidR="00911048" w:rsidRDefault="00E80324">
      <w:pPr>
        <w:pStyle w:val="Textkrper"/>
        <w:ind w:left="1780"/>
      </w:pPr>
      <w:r>
        <w:rPr>
          <w:u w:val="single"/>
        </w:rPr>
        <w:t>Geographic Applicability-</w:t>
      </w:r>
    </w:p>
    <w:p w:rsidR="00911048" w:rsidRDefault="00E80324">
      <w:pPr>
        <w:pStyle w:val="Listenabsatz"/>
        <w:numPr>
          <w:ilvl w:val="0"/>
          <w:numId w:val="2"/>
        </w:numPr>
        <w:tabs>
          <w:tab w:val="left" w:pos="2141"/>
        </w:tabs>
        <w:spacing w:before="3" w:line="237" w:lineRule="auto"/>
        <w:ind w:right="1396"/>
        <w:rPr>
          <w:sz w:val="24"/>
        </w:rPr>
      </w:pPr>
      <w:r>
        <w:rPr>
          <w:sz w:val="24"/>
        </w:rPr>
        <w:t xml:space="preserve">This policy applies globally to all Adient </w:t>
      </w:r>
      <w:r>
        <w:rPr>
          <w:sz w:val="24"/>
        </w:rPr>
        <w:t>Manufacturing and Parts Distributions locations that are involved in the purchase of products</w:t>
      </w:r>
      <w:r>
        <w:rPr>
          <w:spacing w:val="-33"/>
          <w:sz w:val="24"/>
        </w:rPr>
        <w:t xml:space="preserve"> </w:t>
      </w:r>
      <w:r>
        <w:rPr>
          <w:sz w:val="24"/>
        </w:rPr>
        <w:t>and services for</w:t>
      </w:r>
      <w:r>
        <w:rPr>
          <w:sz w:val="24"/>
        </w:rPr>
        <w:t xml:space="preserve"> use internally or</w:t>
      </w:r>
      <w:r>
        <w:rPr>
          <w:spacing w:val="-12"/>
          <w:sz w:val="24"/>
        </w:rPr>
        <w:t xml:space="preserve"> </w:t>
      </w:r>
      <w:r>
        <w:rPr>
          <w:sz w:val="24"/>
        </w:rPr>
        <w:t>resale.</w:t>
      </w:r>
    </w:p>
    <w:p w:rsidR="00911048" w:rsidRDefault="00E80324">
      <w:pPr>
        <w:pStyle w:val="Listenabsatz"/>
        <w:numPr>
          <w:ilvl w:val="0"/>
          <w:numId w:val="2"/>
        </w:numPr>
        <w:tabs>
          <w:tab w:val="left" w:pos="2141"/>
        </w:tabs>
        <w:spacing w:before="1"/>
        <w:ind w:right="1740"/>
        <w:rPr>
          <w:sz w:val="24"/>
        </w:rPr>
      </w:pPr>
      <w:r>
        <w:rPr>
          <w:sz w:val="24"/>
        </w:rPr>
        <w:t>All elements listed in the document are required unless expressly written in the request for quote or the purchase order from Adient</w:t>
      </w:r>
      <w:r>
        <w:rPr>
          <w:sz w:val="24"/>
        </w:rPr>
        <w:t>.</w:t>
      </w:r>
    </w:p>
    <w:p w:rsidR="00911048" w:rsidRDefault="00911048">
      <w:pPr>
        <w:pStyle w:val="Textkrper"/>
      </w:pPr>
    </w:p>
    <w:p w:rsidR="00911048" w:rsidRDefault="00911048">
      <w:pPr>
        <w:pStyle w:val="Textkrper"/>
      </w:pPr>
    </w:p>
    <w:p w:rsidR="00911048" w:rsidRDefault="00911048">
      <w:pPr>
        <w:pStyle w:val="Textkrper"/>
      </w:pPr>
    </w:p>
    <w:p w:rsidR="00911048" w:rsidRDefault="00911048">
      <w:pPr>
        <w:pStyle w:val="Textkrper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ind w:right="1436" w:firstLine="0"/>
        <w:rPr>
          <w:sz w:val="24"/>
        </w:rPr>
      </w:pPr>
      <w:r>
        <w:rPr>
          <w:sz w:val="24"/>
        </w:rPr>
        <w:t>Fixtures must be compatible to Adient</w:t>
      </w:r>
      <w:r>
        <w:rPr>
          <w:sz w:val="24"/>
        </w:rPr>
        <w:t xml:space="preserve"> trunion mounting plate if parts are to be weld</w:t>
      </w:r>
      <w:r>
        <w:rPr>
          <w:sz w:val="24"/>
        </w:rPr>
        <w:t>ed</w:t>
      </w:r>
      <w:r>
        <w:rPr>
          <w:spacing w:val="-31"/>
          <w:sz w:val="24"/>
        </w:rPr>
        <w:t xml:space="preserve"> </w:t>
      </w:r>
      <w:r>
        <w:rPr>
          <w:sz w:val="24"/>
        </w:rPr>
        <w:t>on top/bottom, or must be rotated for required positioning (ref. line #2). Adient</w:t>
      </w:r>
      <w:r>
        <w:rPr>
          <w:sz w:val="24"/>
        </w:rPr>
        <w:t xml:space="preserve"> to provide CAD file for</w:t>
      </w:r>
      <w:r>
        <w:rPr>
          <w:spacing w:val="-1"/>
          <w:sz w:val="24"/>
        </w:rPr>
        <w:t xml:space="preserve"> </w:t>
      </w:r>
      <w:r>
        <w:rPr>
          <w:sz w:val="24"/>
        </w:rPr>
        <w:t>plate.</w:t>
      </w:r>
    </w:p>
    <w:p w:rsidR="00911048" w:rsidRDefault="00911048">
      <w:pPr>
        <w:pStyle w:val="Textkrper"/>
        <w:spacing w:before="3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spacing w:line="286" w:lineRule="exact"/>
        <w:ind w:right="2245" w:firstLine="0"/>
        <w:rPr>
          <w:sz w:val="24"/>
        </w:rPr>
      </w:pPr>
      <w:r>
        <w:rPr>
          <w:sz w:val="24"/>
        </w:rPr>
        <w:t>All arc welds are to be performed with weld joint positioned within +/</w:t>
      </w:r>
      <w:r>
        <w:rPr>
          <w:rFonts w:ascii="Calibri" w:hAnsi="Calibri"/>
          <w:sz w:val="24"/>
        </w:rPr>
        <w:t xml:space="preserve">‐ </w:t>
      </w:r>
      <w:r>
        <w:rPr>
          <w:sz w:val="24"/>
        </w:rPr>
        <w:t>150 from horizontal.</w:t>
      </w:r>
    </w:p>
    <w:p w:rsidR="00911048" w:rsidRDefault="00911048">
      <w:pPr>
        <w:pStyle w:val="Textkrper"/>
        <w:spacing w:before="8"/>
        <w:rPr>
          <w:sz w:val="23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spacing w:line="286" w:lineRule="exact"/>
        <w:ind w:right="1734" w:firstLine="0"/>
        <w:rPr>
          <w:sz w:val="24"/>
        </w:rPr>
      </w:pPr>
      <w:r>
        <w:rPr>
          <w:sz w:val="24"/>
        </w:rPr>
        <w:t>Must have torch clearance for all arc welds @ 450 +/</w:t>
      </w:r>
      <w:r>
        <w:rPr>
          <w:rFonts w:ascii="Calibri" w:hAnsi="Calibri"/>
          <w:sz w:val="24"/>
        </w:rPr>
        <w:t xml:space="preserve">‐ </w:t>
      </w:r>
      <w:r>
        <w:rPr>
          <w:sz w:val="24"/>
        </w:rPr>
        <w:t>100 to weld root, and +/</w:t>
      </w:r>
      <w:r>
        <w:rPr>
          <w:rFonts w:ascii="Calibri" w:hAnsi="Calibri"/>
          <w:sz w:val="24"/>
        </w:rPr>
        <w:t xml:space="preserve">‐ </w:t>
      </w:r>
      <w:r>
        <w:rPr>
          <w:sz w:val="24"/>
        </w:rPr>
        <w:t>100 travel angle. 3 mm minimum gun/nozzle clearance from any fixture detail at all</w:t>
      </w:r>
      <w:r>
        <w:rPr>
          <w:spacing w:val="-28"/>
          <w:sz w:val="24"/>
        </w:rPr>
        <w:t xml:space="preserve"> </w:t>
      </w:r>
      <w:r>
        <w:rPr>
          <w:sz w:val="24"/>
        </w:rPr>
        <w:t>points.</w:t>
      </w:r>
    </w:p>
    <w:p w:rsidR="00911048" w:rsidRDefault="00E80324">
      <w:pPr>
        <w:pStyle w:val="Listenabsatz"/>
        <w:numPr>
          <w:ilvl w:val="0"/>
          <w:numId w:val="1"/>
        </w:numPr>
        <w:tabs>
          <w:tab w:val="left" w:pos="1687"/>
        </w:tabs>
        <w:ind w:right="1345" w:firstLine="0"/>
        <w:rPr>
          <w:sz w:val="24"/>
        </w:rPr>
      </w:pPr>
      <w:r>
        <w:rPr>
          <w:sz w:val="24"/>
        </w:rPr>
        <w:t>Torch model for clearance evaluation shall be Tregaskiss© 500A, 220 Arm #AS</w:t>
      </w:r>
      <w:r>
        <w:rPr>
          <w:rFonts w:ascii="Calibri" w:hAnsi="Calibri"/>
          <w:sz w:val="24"/>
        </w:rPr>
        <w:t>‐</w:t>
      </w:r>
      <w:r>
        <w:rPr>
          <w:sz w:val="24"/>
        </w:rPr>
        <w:t>306</w:t>
      </w:r>
      <w:r>
        <w:rPr>
          <w:rFonts w:ascii="Calibri" w:hAnsi="Calibri"/>
          <w:sz w:val="24"/>
        </w:rPr>
        <w:t>‐</w:t>
      </w:r>
      <w:r>
        <w:rPr>
          <w:sz w:val="24"/>
        </w:rPr>
        <w:t>2, 22</w:t>
      </w:r>
      <w:r>
        <w:rPr>
          <w:sz w:val="24"/>
        </w:rPr>
        <w:t>0 Gooseneck # 405</w:t>
      </w:r>
      <w:r>
        <w:rPr>
          <w:rFonts w:ascii="Calibri" w:hAnsi="Calibri"/>
          <w:sz w:val="24"/>
        </w:rPr>
        <w:t>‐</w:t>
      </w:r>
      <w:r>
        <w:rPr>
          <w:sz w:val="24"/>
        </w:rPr>
        <w:t>22QC. Adient</w:t>
      </w:r>
      <w:r>
        <w:rPr>
          <w:sz w:val="24"/>
        </w:rPr>
        <w:t xml:space="preserve"> to provide CAD file for evaluation</w:t>
      </w:r>
      <w:r>
        <w:rPr>
          <w:spacing w:val="-19"/>
          <w:sz w:val="24"/>
        </w:rPr>
        <w:t xml:space="preserve"> </w:t>
      </w:r>
      <w:r>
        <w:rPr>
          <w:sz w:val="24"/>
        </w:rPr>
        <w:t>use.</w:t>
      </w:r>
    </w:p>
    <w:p w:rsidR="00911048" w:rsidRDefault="00911048">
      <w:pPr>
        <w:pStyle w:val="Textkrper"/>
        <w:spacing w:before="11"/>
        <w:rPr>
          <w:sz w:val="23"/>
        </w:rPr>
      </w:pPr>
      <w:bookmarkStart w:id="0" w:name="_GoBack"/>
      <w:bookmarkEnd w:id="0"/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ind w:right="1811" w:firstLine="0"/>
        <w:rPr>
          <w:sz w:val="24"/>
        </w:rPr>
      </w:pPr>
      <w:r>
        <w:rPr>
          <w:sz w:val="24"/>
        </w:rPr>
        <w:t>Must have adequate clearance for Adient</w:t>
      </w:r>
      <w:r>
        <w:rPr>
          <w:sz w:val="24"/>
        </w:rPr>
        <w:t xml:space="preserve"> trans</w:t>
      </w:r>
      <w:r>
        <w:rPr>
          <w:rFonts w:ascii="Calibri" w:hAnsi="Calibri"/>
          <w:sz w:val="24"/>
        </w:rPr>
        <w:t>‐</w:t>
      </w:r>
      <w:r>
        <w:rPr>
          <w:sz w:val="24"/>
        </w:rPr>
        <w:t>gun on resistance welded assemblies that must be robotically welded. Adient</w:t>
      </w:r>
      <w:r>
        <w:rPr>
          <w:sz w:val="24"/>
        </w:rPr>
        <w:t xml:space="preserve"> to provide trans</w:t>
      </w:r>
      <w:r>
        <w:rPr>
          <w:rFonts w:ascii="Calibri" w:hAnsi="Calibri"/>
          <w:sz w:val="24"/>
        </w:rPr>
        <w:t>‐</w:t>
      </w:r>
      <w:r>
        <w:rPr>
          <w:sz w:val="24"/>
        </w:rPr>
        <w:t>gun</w:t>
      </w:r>
      <w:r>
        <w:rPr>
          <w:spacing w:val="-21"/>
          <w:sz w:val="24"/>
        </w:rPr>
        <w:t xml:space="preserve"> </w:t>
      </w:r>
      <w:r>
        <w:rPr>
          <w:sz w:val="24"/>
        </w:rPr>
        <w:t>dimensions.</w:t>
      </w:r>
    </w:p>
    <w:p w:rsidR="00911048" w:rsidRDefault="00911048">
      <w:pPr>
        <w:pStyle w:val="Textkrper"/>
        <w:spacing w:before="7"/>
        <w:rPr>
          <w:sz w:val="23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spacing w:line="242" w:lineRule="auto"/>
        <w:ind w:right="1586" w:firstLine="0"/>
        <w:jc w:val="both"/>
        <w:rPr>
          <w:sz w:val="24"/>
        </w:rPr>
      </w:pPr>
      <w:r>
        <w:rPr>
          <w:sz w:val="24"/>
        </w:rPr>
        <w:t>Strict adherence for tool locating su</w:t>
      </w:r>
      <w:r>
        <w:rPr>
          <w:sz w:val="24"/>
        </w:rPr>
        <w:t>rfaces to datum schemes on assembly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drawings. All part locating surfaces are to be machined. All part locating pins are to be machined, and sized </w:t>
      </w:r>
      <w:r>
        <w:rPr>
          <w:rFonts w:ascii="Calibri" w:hAnsi="Calibri"/>
          <w:sz w:val="24"/>
        </w:rPr>
        <w:t xml:space="preserve">‐ </w:t>
      </w:r>
      <w:r>
        <w:rPr>
          <w:sz w:val="24"/>
        </w:rPr>
        <w:t>0.1mm below drawing minimum dim. for mating</w:t>
      </w:r>
      <w:r>
        <w:rPr>
          <w:spacing w:val="-15"/>
          <w:sz w:val="24"/>
        </w:rPr>
        <w:t xml:space="preserve"> </w:t>
      </w:r>
      <w:r>
        <w:rPr>
          <w:sz w:val="24"/>
        </w:rPr>
        <w:t>hole/feature.</w:t>
      </w:r>
    </w:p>
    <w:p w:rsidR="00911048" w:rsidRDefault="00911048">
      <w:pPr>
        <w:pStyle w:val="Textkrper"/>
        <w:spacing w:before="5"/>
        <w:rPr>
          <w:sz w:val="23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ind w:right="1518" w:firstLine="0"/>
        <w:rPr>
          <w:sz w:val="24"/>
        </w:rPr>
      </w:pPr>
      <w:r>
        <w:rPr>
          <w:sz w:val="24"/>
        </w:rPr>
        <w:t>Selected locating features are to be adjustable with shim packs (X,Y,Z axis). Reference Adient</w:t>
      </w:r>
      <w:r>
        <w:rPr>
          <w:sz w:val="24"/>
        </w:rPr>
        <w:t xml:space="preserve"> GMAW &amp; Resistance Welding Tooling Standard: SM</w:t>
      </w:r>
      <w:r>
        <w:rPr>
          <w:rFonts w:ascii="Calibri" w:hAnsi="Calibri"/>
          <w:sz w:val="24"/>
        </w:rPr>
        <w:t>‐</w:t>
      </w:r>
      <w:r>
        <w:rPr>
          <w:sz w:val="24"/>
        </w:rPr>
        <w:t>PLUS</w:t>
      </w:r>
      <w:r>
        <w:rPr>
          <w:rFonts w:ascii="Calibri" w:hAnsi="Calibri"/>
          <w:sz w:val="24"/>
        </w:rPr>
        <w:t>‐</w:t>
      </w:r>
      <w:r>
        <w:rPr>
          <w:sz w:val="24"/>
        </w:rPr>
        <w:t>ST</w:t>
      </w:r>
      <w:r>
        <w:rPr>
          <w:rFonts w:ascii="Calibri" w:hAnsi="Calibri"/>
          <w:sz w:val="24"/>
        </w:rPr>
        <w:t>‐</w:t>
      </w:r>
      <w:r>
        <w:rPr>
          <w:sz w:val="24"/>
        </w:rPr>
        <w:t>XX</w:t>
      </w:r>
      <w:r>
        <w:rPr>
          <w:rFonts w:ascii="Calibri" w:hAnsi="Calibri"/>
          <w:sz w:val="24"/>
        </w:rPr>
        <w:t>‐</w:t>
      </w:r>
      <w:r>
        <w:rPr>
          <w:sz w:val="24"/>
        </w:rPr>
        <w:t>XX</w:t>
      </w:r>
      <w:r>
        <w:rPr>
          <w:rFonts w:ascii="Calibri" w:hAnsi="Calibri"/>
          <w:sz w:val="24"/>
        </w:rPr>
        <w:t>‐</w:t>
      </w:r>
      <w:r>
        <w:rPr>
          <w:sz w:val="24"/>
        </w:rPr>
        <w:t>E Rev. 08, section 4.2.27 for shim types and specifications. Adient</w:t>
      </w:r>
      <w:r>
        <w:rPr>
          <w:sz w:val="24"/>
        </w:rPr>
        <w:t xml:space="preserve"> will provide</w:t>
      </w:r>
      <w:r>
        <w:rPr>
          <w:spacing w:val="-27"/>
          <w:sz w:val="24"/>
        </w:rPr>
        <w:t xml:space="preserve"> </w:t>
      </w:r>
      <w:r>
        <w:rPr>
          <w:sz w:val="24"/>
        </w:rPr>
        <w:t>document.</w:t>
      </w:r>
    </w:p>
    <w:p w:rsidR="00911048" w:rsidRDefault="00911048">
      <w:pPr>
        <w:pStyle w:val="Textkrper"/>
        <w:spacing w:before="3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spacing w:before="1"/>
        <w:ind w:left="1688" w:hanging="268"/>
        <w:rPr>
          <w:sz w:val="24"/>
        </w:rPr>
      </w:pPr>
      <w:r>
        <w:rPr>
          <w:sz w:val="24"/>
        </w:rPr>
        <w:t>No “egg</w:t>
      </w:r>
      <w:r>
        <w:rPr>
          <w:rFonts w:ascii="Calibri" w:hAnsi="Calibri"/>
          <w:sz w:val="24"/>
        </w:rPr>
        <w:t>‐</w:t>
      </w:r>
      <w:r>
        <w:rPr>
          <w:sz w:val="24"/>
        </w:rPr>
        <w:t>crate”</w:t>
      </w:r>
      <w:r>
        <w:rPr>
          <w:sz w:val="24"/>
        </w:rPr>
        <w:t xml:space="preserve"> type fixtures</w:t>
      </w:r>
      <w:r>
        <w:rPr>
          <w:spacing w:val="-13"/>
          <w:sz w:val="24"/>
        </w:rPr>
        <w:t xml:space="preserve"> </w:t>
      </w:r>
      <w:r>
        <w:rPr>
          <w:sz w:val="24"/>
        </w:rPr>
        <w:t>allowed.</w:t>
      </w:r>
    </w:p>
    <w:p w:rsidR="00911048" w:rsidRDefault="00911048">
      <w:pPr>
        <w:rPr>
          <w:sz w:val="24"/>
        </w:rPr>
        <w:sectPr w:rsidR="00911048">
          <w:headerReference w:type="default" r:id="rId7"/>
          <w:footerReference w:type="default" r:id="rId8"/>
          <w:type w:val="continuous"/>
          <w:pgSz w:w="12240" w:h="15840"/>
          <w:pgMar w:top="1800" w:right="0" w:bottom="1060" w:left="20" w:header="416" w:footer="864" w:gutter="0"/>
          <w:pgNumType w:start="1"/>
          <w:cols w:space="720"/>
        </w:sectPr>
      </w:pPr>
    </w:p>
    <w:p w:rsidR="00911048" w:rsidRDefault="00911048">
      <w:pPr>
        <w:pStyle w:val="Textkrper"/>
        <w:spacing w:before="3"/>
        <w:rPr>
          <w:sz w:val="15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689"/>
        </w:tabs>
        <w:spacing w:before="70"/>
        <w:ind w:right="1858" w:firstLine="0"/>
        <w:rPr>
          <w:sz w:val="24"/>
        </w:rPr>
      </w:pPr>
      <w:r>
        <w:rPr>
          <w:sz w:val="24"/>
        </w:rPr>
        <w:t>All fasteners to be metric thread. All fasteners must have a minimum of 1.5 x O.D. thread</w:t>
      </w:r>
      <w:r>
        <w:rPr>
          <w:spacing w:val="-8"/>
          <w:sz w:val="24"/>
        </w:rPr>
        <w:t xml:space="preserve"> </w:t>
      </w:r>
      <w:r>
        <w:rPr>
          <w:sz w:val="24"/>
        </w:rPr>
        <w:t>engagement.</w:t>
      </w:r>
    </w:p>
    <w:p w:rsidR="00911048" w:rsidRDefault="00911048">
      <w:pPr>
        <w:pStyle w:val="Textkrper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ind w:right="2170" w:firstLine="0"/>
        <w:rPr>
          <w:sz w:val="24"/>
        </w:rPr>
      </w:pPr>
      <w:r>
        <w:rPr>
          <w:sz w:val="24"/>
        </w:rPr>
        <w:t>Must have adequate clamping that is permanently bolted to the fixture</w:t>
      </w:r>
      <w:r>
        <w:rPr>
          <w:spacing w:val="-34"/>
          <w:sz w:val="24"/>
        </w:rPr>
        <w:t xml:space="preserve"> </w:t>
      </w:r>
      <w:r>
        <w:rPr>
          <w:sz w:val="24"/>
        </w:rPr>
        <w:t>without causing distortion of parts. Magnetic locators are not</w:t>
      </w:r>
      <w:r>
        <w:rPr>
          <w:spacing w:val="-20"/>
          <w:sz w:val="24"/>
        </w:rPr>
        <w:t xml:space="preserve"> </w:t>
      </w:r>
      <w:r>
        <w:rPr>
          <w:sz w:val="24"/>
        </w:rPr>
        <w:t>permitted.</w:t>
      </w:r>
    </w:p>
    <w:p w:rsidR="00911048" w:rsidRDefault="00911048">
      <w:pPr>
        <w:pStyle w:val="Textkrper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ind w:right="1913" w:firstLine="0"/>
        <w:rPr>
          <w:sz w:val="24"/>
        </w:rPr>
      </w:pPr>
      <w:r>
        <w:rPr>
          <w:sz w:val="24"/>
        </w:rPr>
        <w:t>No alternative clamping (locking pliers, etc.) without Adient</w:t>
      </w:r>
      <w:r>
        <w:rPr>
          <w:sz w:val="24"/>
        </w:rPr>
        <w:t xml:space="preserve"> AME review and</w:t>
      </w:r>
      <w:r>
        <w:rPr>
          <w:spacing w:val="-21"/>
          <w:sz w:val="24"/>
        </w:rPr>
        <w:t xml:space="preserve"> </w:t>
      </w:r>
      <w:r>
        <w:rPr>
          <w:sz w:val="24"/>
        </w:rPr>
        <w:t>written approval.</w:t>
      </w:r>
    </w:p>
    <w:p w:rsidR="00911048" w:rsidRDefault="00911048">
      <w:pPr>
        <w:pStyle w:val="Textkrper"/>
        <w:spacing w:before="3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spacing w:before="1"/>
        <w:ind w:left="1822" w:hanging="402"/>
        <w:rPr>
          <w:sz w:val="24"/>
        </w:rPr>
      </w:pPr>
      <w:r>
        <w:rPr>
          <w:sz w:val="24"/>
        </w:rPr>
        <w:t>Clamps used in “Hot” areas to be steel</w:t>
      </w:r>
      <w:r>
        <w:rPr>
          <w:rFonts w:ascii="Calibri" w:hAnsi="Calibri"/>
          <w:sz w:val="24"/>
        </w:rPr>
        <w:t>‐</w:t>
      </w:r>
      <w:r>
        <w:rPr>
          <w:sz w:val="24"/>
        </w:rPr>
        <w:t>to</w:t>
      </w:r>
      <w:r>
        <w:rPr>
          <w:rFonts w:ascii="Calibri" w:hAnsi="Calibri"/>
          <w:sz w:val="24"/>
        </w:rPr>
        <w:t>‐</w:t>
      </w:r>
      <w:r>
        <w:rPr>
          <w:sz w:val="24"/>
        </w:rPr>
        <w:t>steel contact, no rubber/plastic</w:t>
      </w:r>
      <w:r>
        <w:rPr>
          <w:spacing w:val="-29"/>
          <w:sz w:val="24"/>
        </w:rPr>
        <w:t xml:space="preserve"> </w:t>
      </w:r>
      <w:r>
        <w:rPr>
          <w:sz w:val="24"/>
        </w:rPr>
        <w:t>tips.</w:t>
      </w:r>
    </w:p>
    <w:p w:rsidR="00911048" w:rsidRDefault="00911048">
      <w:pPr>
        <w:pStyle w:val="Textkrper"/>
        <w:spacing w:before="8"/>
        <w:rPr>
          <w:sz w:val="23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ind w:right="1703" w:firstLine="0"/>
        <w:rPr>
          <w:sz w:val="24"/>
        </w:rPr>
      </w:pPr>
      <w:r>
        <w:rPr>
          <w:sz w:val="24"/>
        </w:rPr>
        <w:t>All fi</w:t>
      </w:r>
      <w:r>
        <w:rPr>
          <w:sz w:val="24"/>
        </w:rPr>
        <w:t>xtures to validated via standard measurement practices ie; CMM,</w:t>
      </w:r>
      <w:r>
        <w:rPr>
          <w:spacing w:val="-27"/>
          <w:sz w:val="24"/>
        </w:rPr>
        <w:t xml:space="preserve"> </w:t>
      </w:r>
      <w:r>
        <w:rPr>
          <w:sz w:val="24"/>
        </w:rPr>
        <w:t>micrometer, caliper,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911048" w:rsidRDefault="00911048">
      <w:pPr>
        <w:pStyle w:val="Textkrper"/>
        <w:spacing w:before="3"/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spacing w:line="286" w:lineRule="exact"/>
        <w:ind w:right="1373" w:firstLine="0"/>
        <w:rPr>
          <w:sz w:val="24"/>
        </w:rPr>
      </w:pPr>
      <w:r>
        <w:rPr>
          <w:sz w:val="24"/>
        </w:rPr>
        <w:t>Aluminum tooling is acceptable with steel part</w:t>
      </w:r>
      <w:r>
        <w:rPr>
          <w:rFonts w:ascii="Calibri" w:hAnsi="Calibri"/>
          <w:sz w:val="24"/>
        </w:rPr>
        <w:t>‐</w:t>
      </w:r>
      <w:r>
        <w:rPr>
          <w:sz w:val="24"/>
        </w:rPr>
        <w:t>touching details for datum target</w:t>
      </w:r>
      <w:r>
        <w:rPr>
          <w:spacing w:val="-31"/>
          <w:sz w:val="24"/>
        </w:rPr>
        <w:t xml:space="preserve"> </w:t>
      </w:r>
      <w:r>
        <w:rPr>
          <w:sz w:val="24"/>
        </w:rPr>
        <w:t>areas (if required for part nature or volume use) not necessary to heat</w:t>
      </w:r>
      <w:r>
        <w:rPr>
          <w:spacing w:val="-26"/>
          <w:sz w:val="24"/>
        </w:rPr>
        <w:t xml:space="preserve"> </w:t>
      </w:r>
      <w:r>
        <w:rPr>
          <w:sz w:val="24"/>
        </w:rPr>
        <w:t>treat.</w:t>
      </w:r>
    </w:p>
    <w:p w:rsidR="00911048" w:rsidRDefault="00911048">
      <w:pPr>
        <w:pStyle w:val="Textkrper"/>
        <w:spacing w:before="5"/>
        <w:rPr>
          <w:sz w:val="23"/>
        </w:rPr>
      </w:pPr>
    </w:p>
    <w:p w:rsidR="00911048" w:rsidRDefault="00E80324">
      <w:pPr>
        <w:pStyle w:val="Listenabsatz"/>
        <w:numPr>
          <w:ilvl w:val="0"/>
          <w:numId w:val="1"/>
        </w:numPr>
        <w:tabs>
          <w:tab w:val="left" w:pos="1823"/>
        </w:tabs>
        <w:ind w:left="1822" w:hanging="402"/>
        <w:rPr>
          <w:sz w:val="24"/>
        </w:rPr>
      </w:pPr>
      <w:r>
        <w:rPr>
          <w:sz w:val="24"/>
        </w:rPr>
        <w:t>Fina</w:t>
      </w:r>
      <w:r>
        <w:rPr>
          <w:sz w:val="24"/>
        </w:rPr>
        <w:t>l tool design to be approved by Adient</w:t>
      </w:r>
      <w:r>
        <w:rPr>
          <w:sz w:val="24"/>
        </w:rPr>
        <w:t xml:space="preserve"> AME Dept. prior to</w:t>
      </w:r>
      <w:r>
        <w:rPr>
          <w:spacing w:val="-27"/>
          <w:sz w:val="24"/>
        </w:rPr>
        <w:t xml:space="preserve"> </w:t>
      </w:r>
      <w:r>
        <w:rPr>
          <w:sz w:val="24"/>
        </w:rPr>
        <w:t>build.</w:t>
      </w:r>
    </w:p>
    <w:sectPr w:rsidR="00911048">
      <w:pgSz w:w="12240" w:h="15840"/>
      <w:pgMar w:top="1800" w:right="0" w:bottom="1060" w:left="20" w:header="416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324">
      <w:r>
        <w:separator/>
      </w:r>
    </w:p>
  </w:endnote>
  <w:endnote w:type="continuationSeparator" w:id="0">
    <w:p w:rsidR="00000000" w:rsidRDefault="00E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48" w:rsidRDefault="00E80324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37.8pt;width:87.9pt;height:10.05pt;z-index:-3184;mso-position-horizontal-relative:page;mso-position-vertical-relative:page" filled="f" stroked="f">
          <v:textbox inset="0,0,0,0">
            <w:txbxContent>
              <w:p w:rsidR="00911048" w:rsidRDefault="00E80324">
                <w:pPr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Uncontrolled if printed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98.2pt;margin-top:737.9pt;width:43.1pt;height:10.05pt;z-index:-3160;mso-position-horizontal-relative:page;mso-position-vertical-relative:page" filled="f" stroked="f">
          <v:textbox inset="0,0,0,0">
            <w:txbxContent>
              <w:p w:rsidR="00911048" w:rsidRDefault="00E80324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0324">
      <w:r>
        <w:separator/>
      </w:r>
    </w:p>
  </w:footnote>
  <w:footnote w:type="continuationSeparator" w:id="0">
    <w:p w:rsidR="00000000" w:rsidRDefault="00E8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48" w:rsidRDefault="00E80324">
    <w:pPr>
      <w:pStyle w:val="Textkrper"/>
      <w:spacing w:line="14" w:lineRule="auto"/>
      <w:rPr>
        <w:sz w:val="20"/>
      </w:rPr>
    </w:pPr>
    <w:r>
      <w:pict>
        <v:line id="_x0000_s1028" style="position:absolute;z-index:-3232;mso-position-horizontal-relative:page;mso-position-vertical-relative:page" from="6.75pt,90.6pt" to="607.5pt,90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0.2pt;margin-top:19.8pt;width:296.1pt;height:67.3pt;z-index:-3208;mso-position-horizontal-relative:page;mso-position-vertical-relative:page" filled="f" stroked="f">
          <v:textbox inset="0,0,0,0">
            <w:txbxContent>
              <w:p w:rsidR="00911048" w:rsidRPr="00E80324" w:rsidRDefault="00E80324">
                <w:pPr>
                  <w:spacing w:line="305" w:lineRule="exact"/>
                  <w:ind w:left="20" w:right="18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Adient</w:t>
                </w:r>
              </w:p>
              <w:p w:rsidR="00911048" w:rsidRPr="00E80324" w:rsidRDefault="00E80324">
                <w:pPr>
                  <w:spacing w:line="341" w:lineRule="exact"/>
                  <w:ind w:left="18" w:right="18"/>
                  <w:jc w:val="center"/>
                  <w:rPr>
                    <w:sz w:val="28"/>
                  </w:rPr>
                </w:pPr>
                <w:r w:rsidRPr="00E80324">
                  <w:rPr>
                    <w:sz w:val="28"/>
                  </w:rPr>
                  <w:t>Global Supplier Standards Manual</w:t>
                </w:r>
              </w:p>
              <w:p w:rsidR="00911048" w:rsidRPr="00E80324" w:rsidRDefault="00E80324">
                <w:pPr>
                  <w:spacing w:before="1"/>
                  <w:ind w:left="20" w:right="18"/>
                  <w:jc w:val="center"/>
                  <w:rPr>
                    <w:sz w:val="28"/>
                  </w:rPr>
                </w:pPr>
                <w:r w:rsidRPr="00E80324">
                  <w:rPr>
                    <w:sz w:val="28"/>
                  </w:rPr>
                  <w:t>Metal Prototype Weld Fixture Design Requirements May 2013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6748"/>
    <w:multiLevelType w:val="hybridMultilevel"/>
    <w:tmpl w:val="E9D079CE"/>
    <w:lvl w:ilvl="0" w:tplc="3D766CB8">
      <w:start w:val="1"/>
      <w:numFmt w:val="decimal"/>
      <w:lvlText w:val="%1."/>
      <w:lvlJc w:val="left"/>
      <w:pPr>
        <w:ind w:left="142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2E8C0802">
      <w:start w:val="1"/>
      <w:numFmt w:val="bullet"/>
      <w:lvlText w:val="•"/>
      <w:lvlJc w:val="left"/>
      <w:pPr>
        <w:ind w:left="2500" w:hanging="269"/>
      </w:pPr>
      <w:rPr>
        <w:rFonts w:hint="default"/>
      </w:rPr>
    </w:lvl>
    <w:lvl w:ilvl="2" w:tplc="A0182E72">
      <w:start w:val="1"/>
      <w:numFmt w:val="bullet"/>
      <w:lvlText w:val="•"/>
      <w:lvlJc w:val="left"/>
      <w:pPr>
        <w:ind w:left="3580" w:hanging="269"/>
      </w:pPr>
      <w:rPr>
        <w:rFonts w:hint="default"/>
      </w:rPr>
    </w:lvl>
    <w:lvl w:ilvl="3" w:tplc="4260CE44">
      <w:start w:val="1"/>
      <w:numFmt w:val="bullet"/>
      <w:lvlText w:val="•"/>
      <w:lvlJc w:val="left"/>
      <w:pPr>
        <w:ind w:left="4660" w:hanging="269"/>
      </w:pPr>
      <w:rPr>
        <w:rFonts w:hint="default"/>
      </w:rPr>
    </w:lvl>
    <w:lvl w:ilvl="4" w:tplc="A1C2F68C">
      <w:start w:val="1"/>
      <w:numFmt w:val="bullet"/>
      <w:lvlText w:val="•"/>
      <w:lvlJc w:val="left"/>
      <w:pPr>
        <w:ind w:left="5740" w:hanging="269"/>
      </w:pPr>
      <w:rPr>
        <w:rFonts w:hint="default"/>
      </w:rPr>
    </w:lvl>
    <w:lvl w:ilvl="5" w:tplc="EAFEC554">
      <w:start w:val="1"/>
      <w:numFmt w:val="bullet"/>
      <w:lvlText w:val="•"/>
      <w:lvlJc w:val="left"/>
      <w:pPr>
        <w:ind w:left="6820" w:hanging="269"/>
      </w:pPr>
      <w:rPr>
        <w:rFonts w:hint="default"/>
      </w:rPr>
    </w:lvl>
    <w:lvl w:ilvl="6" w:tplc="C3726F7C">
      <w:start w:val="1"/>
      <w:numFmt w:val="bullet"/>
      <w:lvlText w:val="•"/>
      <w:lvlJc w:val="left"/>
      <w:pPr>
        <w:ind w:left="7900" w:hanging="269"/>
      </w:pPr>
      <w:rPr>
        <w:rFonts w:hint="default"/>
      </w:rPr>
    </w:lvl>
    <w:lvl w:ilvl="7" w:tplc="6B82C93A">
      <w:start w:val="1"/>
      <w:numFmt w:val="bullet"/>
      <w:lvlText w:val="•"/>
      <w:lvlJc w:val="left"/>
      <w:pPr>
        <w:ind w:left="8980" w:hanging="269"/>
      </w:pPr>
      <w:rPr>
        <w:rFonts w:hint="default"/>
      </w:rPr>
    </w:lvl>
    <w:lvl w:ilvl="8" w:tplc="3AFAE86E">
      <w:start w:val="1"/>
      <w:numFmt w:val="bullet"/>
      <w:lvlText w:val="•"/>
      <w:lvlJc w:val="left"/>
      <w:pPr>
        <w:ind w:left="10060" w:hanging="269"/>
      </w:pPr>
      <w:rPr>
        <w:rFonts w:hint="default"/>
      </w:rPr>
    </w:lvl>
  </w:abstractNum>
  <w:abstractNum w:abstractNumId="1" w15:restartNumberingAfterBreak="0">
    <w:nsid w:val="429F14AF"/>
    <w:multiLevelType w:val="hybridMultilevel"/>
    <w:tmpl w:val="807A3260"/>
    <w:lvl w:ilvl="0" w:tplc="D632EA0E">
      <w:start w:val="1"/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B0C1D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2" w:tplc="C1EAA7CE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3" w:tplc="1DB4FBE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4" w:tplc="587047DE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5" w:tplc="7BD4D1C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6" w:tplc="F5DA6F3E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  <w:lvl w:ilvl="7" w:tplc="14903288">
      <w:start w:val="1"/>
      <w:numFmt w:val="bullet"/>
      <w:lvlText w:val="•"/>
      <w:lvlJc w:val="left"/>
      <w:pPr>
        <w:ind w:left="9196" w:hanging="360"/>
      </w:pPr>
      <w:rPr>
        <w:rFonts w:hint="default"/>
      </w:rPr>
    </w:lvl>
    <w:lvl w:ilvl="8" w:tplc="00FAAF82">
      <w:start w:val="1"/>
      <w:numFmt w:val="bullet"/>
      <w:lvlText w:val="•"/>
      <w:lvlJc w:val="left"/>
      <w:pPr>
        <w:ind w:left="102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1048"/>
    <w:rsid w:val="00911048"/>
    <w:rsid w:val="00E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12A2056-714F-4217-9A26-5A24A8C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42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42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8032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032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8032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03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amurasc</dc:creator>
  <cp:lastModifiedBy>christian</cp:lastModifiedBy>
  <cp:revision>2</cp:revision>
  <dcterms:created xsi:type="dcterms:W3CDTF">2016-10-12T16:05:00Z</dcterms:created>
  <dcterms:modified xsi:type="dcterms:W3CDTF">2016-10-12T14:07:00Z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2016-10-12T00:00:00Z</vt:filetime>
  </property>
</Properties>
</file>